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46EE" w14:textId="77777777" w:rsidR="00133737" w:rsidRPr="007F2F72" w:rsidRDefault="00133737" w:rsidP="007F2F72">
      <w:pPr>
        <w:spacing w:after="0" w:line="240" w:lineRule="auto"/>
        <w:ind w:left="4253" w:right="0" w:hanging="11"/>
      </w:pPr>
      <w:r w:rsidRPr="007F2F72">
        <w:rPr>
          <w:b/>
        </w:rPr>
        <w:t xml:space="preserve">COMISIÓN PERMANENTE DE PUNTOS CONSTITUCIONALES Y GOBERNACIÓN. </w:t>
      </w:r>
      <w:r w:rsidRPr="007F2F72">
        <w:t>DIPUTADAS Y DIPUTADOS: CARMEN GUADALUPE GONZÁLEZ MARTÍN, ALEJANDRA DE LOS ÁNGELES NOVELO SEGURA, GASPAR ARMANDO QUINTAL PARRA, JESÚS EFRÉN PÉREZ BALLOTE,</w:t>
      </w:r>
      <w:r w:rsidRPr="007F2F72">
        <w:rPr>
          <w:lang w:val="pt-BR"/>
        </w:rPr>
        <w:t xml:space="preserve"> VÍCTOR HUGO LOZANO POVEDA, DAFNE CELINA LÓPEZ OSORIO, KARLA VANESSA SALAZAR GONZÁLEZ, JOSÉ CRESCENCIO GUTIÉRREZ GONZÁLEZ, VIDA ARAVARI GÓMEZ HERRERA. </w:t>
      </w:r>
      <w:r w:rsidRPr="007F2F72">
        <w:t xml:space="preserve"> - - - - - </w:t>
      </w:r>
    </w:p>
    <w:p w14:paraId="2405026B" w14:textId="77777777" w:rsidR="00B97777" w:rsidRPr="007F2F72" w:rsidRDefault="00B97777" w:rsidP="007F2F72">
      <w:pPr>
        <w:tabs>
          <w:tab w:val="left" w:pos="4678"/>
        </w:tabs>
        <w:spacing w:after="0" w:line="360" w:lineRule="auto"/>
        <w:ind w:left="0" w:right="0" w:firstLine="708"/>
        <w:jc w:val="left"/>
        <w:rPr>
          <w:b/>
          <w:color w:val="auto"/>
          <w:szCs w:val="24"/>
        </w:rPr>
      </w:pPr>
    </w:p>
    <w:p w14:paraId="6F3A97FD" w14:textId="08279597" w:rsidR="00B97777" w:rsidRPr="007F2F72" w:rsidRDefault="003B417A" w:rsidP="007F2F72">
      <w:pPr>
        <w:tabs>
          <w:tab w:val="left" w:pos="4678"/>
        </w:tabs>
        <w:spacing w:after="0" w:line="360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HONORABLE CONGRESO DEL ESTADO.</w:t>
      </w:r>
    </w:p>
    <w:p w14:paraId="3583B4DD" w14:textId="77777777" w:rsidR="00546BA0" w:rsidRPr="007F2F72" w:rsidRDefault="00546BA0" w:rsidP="007F2F72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Cs w:val="24"/>
        </w:rPr>
      </w:pPr>
    </w:p>
    <w:p w14:paraId="34A68EB3" w14:textId="6D00F1BD" w:rsidR="007F2F72" w:rsidRPr="007F2F72" w:rsidRDefault="007F2F72" w:rsidP="00027296">
      <w:pPr>
        <w:pStyle w:val="Textoindependiente2"/>
        <w:spacing w:after="0" w:line="360" w:lineRule="auto"/>
        <w:ind w:left="0" w:right="0" w:firstLine="709"/>
        <w:rPr>
          <w:szCs w:val="24"/>
        </w:rPr>
      </w:pPr>
      <w:r w:rsidRPr="007F2F72">
        <w:rPr>
          <w:szCs w:val="24"/>
        </w:rPr>
        <w:t xml:space="preserve">En </w:t>
      </w:r>
      <w:r w:rsidR="00027296">
        <w:rPr>
          <w:szCs w:val="24"/>
        </w:rPr>
        <w:t>Se</w:t>
      </w:r>
      <w:r w:rsidRPr="007F2F72">
        <w:rPr>
          <w:szCs w:val="24"/>
        </w:rPr>
        <w:t xml:space="preserve">sión </w:t>
      </w:r>
      <w:r w:rsidR="00027296">
        <w:rPr>
          <w:szCs w:val="24"/>
        </w:rPr>
        <w:t>O</w:t>
      </w:r>
      <w:r w:rsidRPr="007F2F72">
        <w:rPr>
          <w:szCs w:val="24"/>
        </w:rPr>
        <w:t xml:space="preserve">rdinaria de fecha 26 octubre del año </w:t>
      </w:r>
      <w:r w:rsidR="00D86D09">
        <w:rPr>
          <w:szCs w:val="24"/>
        </w:rPr>
        <w:t>2022</w:t>
      </w:r>
      <w:r w:rsidRPr="007F2F72">
        <w:rPr>
          <w:szCs w:val="24"/>
        </w:rPr>
        <w:t xml:space="preserve">, se turnó a esta Comisión Permanente de Puntos Constitucionales y Gobernación para su estudio, análisis y dictamen, la Minuta con proyecto de Decreto por el que se </w:t>
      </w:r>
      <w:r>
        <w:rPr>
          <w:rFonts w:eastAsia="Calibri"/>
          <w:bCs/>
          <w:szCs w:val="24"/>
          <w:lang w:eastAsia="en-US"/>
        </w:rPr>
        <w:t>adiciona</w:t>
      </w:r>
      <w:r w:rsidRPr="007F2F72">
        <w:rPr>
          <w:rFonts w:eastAsia="Calibri"/>
          <w:bCs/>
          <w:szCs w:val="24"/>
          <w:lang w:eastAsia="en-US"/>
        </w:rPr>
        <w:t xml:space="preserve"> una fracción X al artículo 116 de la Constitución Política de los Estados Unidos Mexicanos, </w:t>
      </w:r>
      <w:r w:rsidR="00A960F1" w:rsidRPr="007F2F72">
        <w:rPr>
          <w:rFonts w:eastAsia="Calibri"/>
          <w:bCs/>
          <w:szCs w:val="24"/>
          <w:lang w:eastAsia="en-US"/>
        </w:rPr>
        <w:t xml:space="preserve">en materia de </w:t>
      </w:r>
      <w:r w:rsidR="00A960F1">
        <w:rPr>
          <w:rFonts w:eastAsia="Calibri"/>
          <w:bCs/>
          <w:szCs w:val="24"/>
          <w:lang w:eastAsia="en-US"/>
        </w:rPr>
        <w:t>símbolos de las entidades federativas</w:t>
      </w:r>
      <w:r w:rsidRPr="007F2F72">
        <w:rPr>
          <w:szCs w:val="24"/>
        </w:rPr>
        <w:t xml:space="preserve">, mismo que fue remitido por la Cámara de </w:t>
      </w:r>
      <w:r w:rsidRPr="007F2F72">
        <w:rPr>
          <w:szCs w:val="24"/>
          <w:shd w:val="clear" w:color="auto" w:fill="FFFFFF" w:themeFill="background1"/>
        </w:rPr>
        <w:t>Diputados del</w:t>
      </w:r>
      <w:r w:rsidRPr="007F2F72">
        <w:rPr>
          <w:szCs w:val="24"/>
        </w:rPr>
        <w:t xml:space="preserve"> H. Congreso de la Unión, para los efectos constitucionales correspondientes a lo establecido en el artículo 135 de nuestra Carta Magna.</w:t>
      </w:r>
    </w:p>
    <w:p w14:paraId="74BD2724" w14:textId="77777777" w:rsidR="007F2F72" w:rsidRPr="007F2F72" w:rsidRDefault="007F2F72" w:rsidP="007F2F72">
      <w:pPr>
        <w:spacing w:after="0" w:line="360" w:lineRule="auto"/>
        <w:ind w:left="0" w:right="0" w:firstLine="0"/>
        <w:rPr>
          <w:color w:val="auto"/>
          <w:szCs w:val="24"/>
          <w:lang w:val="es-ES_tradnl"/>
        </w:rPr>
      </w:pPr>
    </w:p>
    <w:p w14:paraId="1793802C" w14:textId="573853B8" w:rsidR="007F2F72" w:rsidRPr="007F2F72" w:rsidRDefault="007F2F72" w:rsidP="007F2F72">
      <w:pPr>
        <w:pStyle w:val="Textoindependiente2"/>
        <w:spacing w:after="0" w:line="360" w:lineRule="auto"/>
        <w:ind w:left="0" w:right="0" w:firstLine="709"/>
        <w:rPr>
          <w:szCs w:val="24"/>
        </w:rPr>
      </w:pPr>
      <w:r w:rsidRPr="007F2F72">
        <w:rPr>
          <w:szCs w:val="24"/>
        </w:rPr>
        <w:t>Las diputadas y</w:t>
      </w:r>
      <w:r w:rsidR="009C7A54">
        <w:rPr>
          <w:szCs w:val="24"/>
        </w:rPr>
        <w:t xml:space="preserve"> diputados integrantes de esta Comisión P</w:t>
      </w:r>
      <w:r w:rsidRPr="007F2F72">
        <w:rPr>
          <w:szCs w:val="24"/>
        </w:rPr>
        <w:t xml:space="preserve">ermanente, nos abocamos al estudio y análisis de la propuesta de reforma constitucional mencionada, tomando en consideración los siguientes, </w:t>
      </w:r>
    </w:p>
    <w:p w14:paraId="10A8E7A3" w14:textId="77777777" w:rsidR="007F2F72" w:rsidRPr="007F2F72" w:rsidRDefault="007F2F72" w:rsidP="007F2F72">
      <w:pPr>
        <w:pStyle w:val="Textoindependiente2"/>
        <w:spacing w:after="0" w:line="360" w:lineRule="auto"/>
        <w:ind w:left="0" w:right="0" w:firstLine="709"/>
        <w:jc w:val="center"/>
        <w:rPr>
          <w:b/>
          <w:szCs w:val="24"/>
        </w:rPr>
      </w:pPr>
    </w:p>
    <w:p w14:paraId="3ACB0EEA" w14:textId="60D461FC" w:rsidR="007F2F72" w:rsidRPr="007F2F72" w:rsidRDefault="00133CCC" w:rsidP="007F2F72">
      <w:pPr>
        <w:pStyle w:val="Textoindependiente2"/>
        <w:spacing w:after="0" w:line="360" w:lineRule="auto"/>
        <w:ind w:left="0" w:right="0" w:firstLine="709"/>
        <w:jc w:val="center"/>
        <w:rPr>
          <w:b/>
          <w:szCs w:val="24"/>
        </w:rPr>
      </w:pPr>
      <w:r>
        <w:rPr>
          <w:b/>
          <w:szCs w:val="24"/>
        </w:rPr>
        <w:t>A N T E C E D E N T E S</w:t>
      </w:r>
    </w:p>
    <w:p w14:paraId="1B07F16A" w14:textId="77777777" w:rsidR="007F2F72" w:rsidRPr="007F2F72" w:rsidRDefault="007F2F72" w:rsidP="00F417C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color w:val="auto"/>
          <w:szCs w:val="24"/>
          <w:lang w:val="es-ES_tradnl"/>
        </w:rPr>
      </w:pPr>
    </w:p>
    <w:p w14:paraId="1AC53126" w14:textId="727DB55C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/>
          <w:color w:val="auto"/>
          <w:szCs w:val="24"/>
        </w:rPr>
      </w:pPr>
      <w:r w:rsidRPr="007F2F72">
        <w:rPr>
          <w:rFonts w:eastAsiaTheme="minorEastAsia"/>
          <w:b/>
          <w:color w:val="auto"/>
          <w:szCs w:val="24"/>
        </w:rPr>
        <w:t xml:space="preserve">PRIMERO. </w:t>
      </w:r>
      <w:r w:rsidRPr="007F2F72">
        <w:rPr>
          <w:rFonts w:eastAsiaTheme="minorEastAsia"/>
          <w:color w:val="auto"/>
          <w:szCs w:val="24"/>
        </w:rPr>
        <w:t xml:space="preserve">La Minuta con </w:t>
      </w:r>
      <w:r w:rsidRPr="007F2F72">
        <w:rPr>
          <w:color w:val="auto"/>
          <w:szCs w:val="24"/>
        </w:rPr>
        <w:t xml:space="preserve">proyecto de Decreto por el que se </w:t>
      </w:r>
      <w:r>
        <w:rPr>
          <w:rFonts w:eastAsia="Calibri"/>
          <w:bCs/>
          <w:szCs w:val="24"/>
          <w:lang w:eastAsia="en-US"/>
        </w:rPr>
        <w:t>adiciona</w:t>
      </w:r>
      <w:r w:rsidRPr="007F2F72">
        <w:rPr>
          <w:rFonts w:eastAsia="Calibri"/>
          <w:bCs/>
          <w:szCs w:val="24"/>
          <w:lang w:eastAsia="en-US"/>
        </w:rPr>
        <w:t xml:space="preserve"> una fracción X al artículo 116 de la Constitución Política de los Estados Unidos Mexicanos, </w:t>
      </w:r>
      <w:r w:rsidR="00A960F1" w:rsidRPr="007F2F72">
        <w:rPr>
          <w:rFonts w:eastAsia="Calibri"/>
          <w:bCs/>
          <w:szCs w:val="24"/>
          <w:lang w:eastAsia="en-US"/>
        </w:rPr>
        <w:t xml:space="preserve">en materia de </w:t>
      </w:r>
      <w:r w:rsidR="00A960F1">
        <w:rPr>
          <w:rFonts w:eastAsia="Calibri"/>
          <w:bCs/>
          <w:szCs w:val="24"/>
          <w:lang w:eastAsia="en-US"/>
        </w:rPr>
        <w:t>símbolos de las entidades federativas</w:t>
      </w:r>
      <w:r w:rsidRPr="007F2F72">
        <w:rPr>
          <w:color w:val="auto"/>
          <w:szCs w:val="24"/>
        </w:rPr>
        <w:t xml:space="preserve">, </w:t>
      </w:r>
      <w:r w:rsidRPr="007F2F72">
        <w:rPr>
          <w:rFonts w:eastAsiaTheme="minorEastAsia"/>
          <w:color w:val="auto"/>
          <w:szCs w:val="24"/>
        </w:rPr>
        <w:t>derivó de una iniciativa suscrita por</w:t>
      </w:r>
      <w:r>
        <w:rPr>
          <w:rFonts w:eastAsiaTheme="minorEastAsia"/>
          <w:color w:val="auto"/>
          <w:szCs w:val="24"/>
        </w:rPr>
        <w:t xml:space="preserve"> el Senador</w:t>
      </w:r>
      <w:r w:rsidRPr="007F2F72">
        <w:rPr>
          <w:rFonts w:eastAsiaTheme="minorEastAsia"/>
          <w:color w:val="auto"/>
          <w:szCs w:val="24"/>
        </w:rPr>
        <w:t xml:space="preserve"> en funciones </w:t>
      </w:r>
      <w:r>
        <w:rPr>
          <w:rFonts w:eastAsiaTheme="minorEastAsia"/>
          <w:color w:val="auto"/>
          <w:szCs w:val="24"/>
        </w:rPr>
        <w:t>Jorge Carlos Ramírez Marín</w:t>
      </w:r>
      <w:r w:rsidRPr="007F2F72">
        <w:rPr>
          <w:rFonts w:eastAsiaTheme="minorEastAsia"/>
          <w:color w:val="auto"/>
          <w:szCs w:val="24"/>
        </w:rPr>
        <w:t xml:space="preserve">, </w:t>
      </w:r>
      <w:r>
        <w:rPr>
          <w:rFonts w:eastAsiaTheme="minorEastAsia"/>
          <w:color w:val="auto"/>
          <w:szCs w:val="24"/>
        </w:rPr>
        <w:t xml:space="preserve">miembro de la LXIV </w:t>
      </w:r>
      <w:r>
        <w:rPr>
          <w:rFonts w:eastAsiaTheme="minorEastAsia"/>
          <w:color w:val="auto"/>
          <w:szCs w:val="24"/>
        </w:rPr>
        <w:lastRenderedPageBreak/>
        <w:t>Legislatura del H. Congreso de la Unión,</w:t>
      </w:r>
      <w:r w:rsidRPr="007F2F72">
        <w:rPr>
          <w:rFonts w:eastAsiaTheme="minorEastAsia"/>
          <w:color w:val="auto"/>
          <w:szCs w:val="24"/>
        </w:rPr>
        <w:t xml:space="preserve"> presentada ante el Senado de la República el </w:t>
      </w:r>
      <w:r>
        <w:rPr>
          <w:rFonts w:eastAsiaTheme="minorEastAsia"/>
          <w:color w:val="auto"/>
          <w:szCs w:val="24"/>
        </w:rPr>
        <w:t>28</w:t>
      </w:r>
      <w:r w:rsidRPr="007F2F72">
        <w:rPr>
          <w:rFonts w:eastAsiaTheme="minorEastAsia"/>
          <w:color w:val="auto"/>
          <w:szCs w:val="24"/>
        </w:rPr>
        <w:t xml:space="preserve"> de </w:t>
      </w:r>
      <w:r>
        <w:rPr>
          <w:rFonts w:eastAsiaTheme="minorEastAsia"/>
          <w:color w:val="auto"/>
          <w:szCs w:val="24"/>
        </w:rPr>
        <w:t>agosto</w:t>
      </w:r>
      <w:r w:rsidRPr="007F2F72">
        <w:rPr>
          <w:rFonts w:eastAsiaTheme="minorEastAsia"/>
          <w:color w:val="auto"/>
          <w:szCs w:val="24"/>
        </w:rPr>
        <w:t xml:space="preserve"> de 201</w:t>
      </w:r>
      <w:r>
        <w:rPr>
          <w:rFonts w:eastAsiaTheme="minorEastAsia"/>
          <w:color w:val="auto"/>
          <w:szCs w:val="24"/>
        </w:rPr>
        <w:t>9</w:t>
      </w:r>
      <w:r w:rsidRPr="007F2F72">
        <w:rPr>
          <w:rFonts w:eastAsiaTheme="minorEastAsia"/>
          <w:color w:val="auto"/>
          <w:szCs w:val="24"/>
        </w:rPr>
        <w:t>, tal iniciativa fue turnada en esa misma fecha por la mesa directiva respectiva a las Comisiones Unidas de Puntos Constitucion</w:t>
      </w:r>
      <w:r>
        <w:rPr>
          <w:rFonts w:eastAsiaTheme="minorEastAsia"/>
          <w:color w:val="auto"/>
          <w:szCs w:val="24"/>
        </w:rPr>
        <w:t>ales y de Estudios Legislativos de la Cámara de Senadores</w:t>
      </w:r>
      <w:r w:rsidRPr="007F2F72">
        <w:rPr>
          <w:rFonts w:eastAsiaTheme="minorEastAsia"/>
          <w:color w:val="auto"/>
          <w:szCs w:val="24"/>
        </w:rPr>
        <w:t>.</w:t>
      </w:r>
    </w:p>
    <w:p w14:paraId="19FB36C7" w14:textId="77777777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/>
          <w:color w:val="auto"/>
          <w:szCs w:val="24"/>
        </w:rPr>
      </w:pPr>
    </w:p>
    <w:p w14:paraId="55713E11" w14:textId="2716451C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/>
          <w:color w:val="auto"/>
          <w:szCs w:val="24"/>
        </w:rPr>
      </w:pPr>
      <w:r w:rsidRPr="007F2F72">
        <w:rPr>
          <w:rFonts w:eastAsiaTheme="minorEastAsia"/>
          <w:b/>
          <w:color w:val="auto"/>
          <w:szCs w:val="24"/>
        </w:rPr>
        <w:t>SEGUNDO.</w:t>
      </w:r>
      <w:r w:rsidRPr="007F2F72">
        <w:rPr>
          <w:rFonts w:eastAsiaTheme="minorEastAsia"/>
          <w:color w:val="auto"/>
          <w:szCs w:val="24"/>
        </w:rPr>
        <w:t xml:space="preserve"> Fue hasta el </w:t>
      </w:r>
      <w:r>
        <w:rPr>
          <w:rFonts w:eastAsiaTheme="minorEastAsia"/>
          <w:color w:val="auto"/>
          <w:szCs w:val="24"/>
        </w:rPr>
        <w:t>11</w:t>
      </w:r>
      <w:r w:rsidRPr="007F2F72">
        <w:rPr>
          <w:rFonts w:eastAsiaTheme="minorEastAsia"/>
          <w:color w:val="auto"/>
          <w:szCs w:val="24"/>
        </w:rPr>
        <w:t xml:space="preserve"> de </w:t>
      </w:r>
      <w:r>
        <w:rPr>
          <w:rFonts w:eastAsiaTheme="minorEastAsia"/>
          <w:color w:val="auto"/>
          <w:szCs w:val="24"/>
        </w:rPr>
        <w:t xml:space="preserve">marzo </w:t>
      </w:r>
      <w:r w:rsidRPr="007F2F72">
        <w:rPr>
          <w:rFonts w:eastAsiaTheme="minorEastAsia"/>
          <w:color w:val="auto"/>
          <w:szCs w:val="24"/>
        </w:rPr>
        <w:t>de 202</w:t>
      </w:r>
      <w:r>
        <w:rPr>
          <w:rFonts w:eastAsiaTheme="minorEastAsia"/>
          <w:color w:val="auto"/>
          <w:szCs w:val="24"/>
        </w:rPr>
        <w:t>1</w:t>
      </w:r>
      <w:r w:rsidRPr="007F2F72">
        <w:rPr>
          <w:rFonts w:eastAsiaTheme="minorEastAsia"/>
          <w:color w:val="auto"/>
          <w:szCs w:val="24"/>
        </w:rPr>
        <w:t xml:space="preserve">, que el </w:t>
      </w:r>
      <w:r w:rsidR="00027296">
        <w:rPr>
          <w:rFonts w:eastAsiaTheme="minorEastAsia"/>
          <w:color w:val="auto"/>
          <w:szCs w:val="24"/>
        </w:rPr>
        <w:t>P</w:t>
      </w:r>
      <w:r w:rsidRPr="007F2F72">
        <w:rPr>
          <w:rFonts w:eastAsiaTheme="minorEastAsia"/>
          <w:color w:val="auto"/>
          <w:szCs w:val="24"/>
        </w:rPr>
        <w:t>leno del Senado discutió y apro</w:t>
      </w:r>
      <w:r w:rsidR="009C7A54">
        <w:rPr>
          <w:rFonts w:eastAsiaTheme="minorEastAsia"/>
          <w:color w:val="auto"/>
          <w:szCs w:val="24"/>
        </w:rPr>
        <w:t>bó el dictamen emitido por las Comisiones Unidas que atendieron la M</w:t>
      </w:r>
      <w:r w:rsidRPr="007F2F72">
        <w:rPr>
          <w:rFonts w:eastAsiaTheme="minorEastAsia"/>
          <w:color w:val="auto"/>
          <w:szCs w:val="24"/>
        </w:rPr>
        <w:t>inuta</w:t>
      </w:r>
      <w:r w:rsidR="009C7A54">
        <w:rPr>
          <w:rFonts w:eastAsiaTheme="minorEastAsia"/>
          <w:color w:val="auto"/>
          <w:szCs w:val="24"/>
        </w:rPr>
        <w:t xml:space="preserve"> F</w:t>
      </w:r>
      <w:r w:rsidRPr="007F2F72">
        <w:rPr>
          <w:rFonts w:eastAsiaTheme="minorEastAsia"/>
          <w:color w:val="auto"/>
          <w:szCs w:val="24"/>
        </w:rPr>
        <w:t>ederal que nos ocupa, siendo esta remitida a la Cámara de Diputados, para los efectos legales correspondientes.</w:t>
      </w:r>
    </w:p>
    <w:p w14:paraId="746700D8" w14:textId="77777777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/>
          <w:color w:val="auto"/>
          <w:szCs w:val="24"/>
        </w:rPr>
      </w:pPr>
    </w:p>
    <w:p w14:paraId="2E98432C" w14:textId="7B2919DC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color w:val="auto"/>
          <w:szCs w:val="24"/>
        </w:rPr>
      </w:pPr>
      <w:r w:rsidRPr="007F2F72">
        <w:rPr>
          <w:rFonts w:eastAsiaTheme="minorEastAsia"/>
          <w:b/>
          <w:color w:val="auto"/>
          <w:szCs w:val="24"/>
        </w:rPr>
        <w:t>TERCERO.</w:t>
      </w:r>
      <w:r w:rsidRPr="007F2F72">
        <w:rPr>
          <w:rFonts w:eastAsiaTheme="minorEastAsia"/>
          <w:color w:val="auto"/>
          <w:szCs w:val="24"/>
        </w:rPr>
        <w:t xml:space="preserve"> En su carácter de revisora, el </w:t>
      </w:r>
      <w:r>
        <w:rPr>
          <w:rFonts w:eastAsiaTheme="minorEastAsia"/>
          <w:color w:val="auto"/>
          <w:szCs w:val="24"/>
        </w:rPr>
        <w:t>17</w:t>
      </w:r>
      <w:r w:rsidRPr="007F2F72">
        <w:rPr>
          <w:rFonts w:eastAsiaTheme="minorEastAsia"/>
          <w:color w:val="auto"/>
          <w:szCs w:val="24"/>
        </w:rPr>
        <w:t xml:space="preserve"> de </w:t>
      </w:r>
      <w:r>
        <w:rPr>
          <w:rFonts w:eastAsiaTheme="minorEastAsia"/>
          <w:color w:val="auto"/>
          <w:szCs w:val="24"/>
        </w:rPr>
        <w:t>marzo</w:t>
      </w:r>
      <w:r w:rsidRPr="007F2F72">
        <w:rPr>
          <w:rFonts w:eastAsiaTheme="minorEastAsia"/>
          <w:color w:val="auto"/>
          <w:szCs w:val="24"/>
        </w:rPr>
        <w:t xml:space="preserve"> de 202</w:t>
      </w:r>
      <w:r>
        <w:rPr>
          <w:rFonts w:eastAsiaTheme="minorEastAsia"/>
          <w:color w:val="auto"/>
          <w:szCs w:val="24"/>
        </w:rPr>
        <w:t>1</w:t>
      </w:r>
      <w:r w:rsidR="009C7A54">
        <w:rPr>
          <w:rFonts w:eastAsiaTheme="minorEastAsia"/>
          <w:color w:val="auto"/>
          <w:szCs w:val="24"/>
        </w:rPr>
        <w:t xml:space="preserve"> la presidencia de la Mesa D</w:t>
      </w:r>
      <w:r w:rsidRPr="007F2F72">
        <w:rPr>
          <w:rFonts w:eastAsiaTheme="minorEastAsia"/>
          <w:color w:val="auto"/>
          <w:szCs w:val="24"/>
        </w:rPr>
        <w:t xml:space="preserve">irectiva de la Cámara de Diputados recibió la Minuta con </w:t>
      </w:r>
      <w:r w:rsidRPr="007F2F72">
        <w:rPr>
          <w:color w:val="auto"/>
          <w:szCs w:val="24"/>
        </w:rPr>
        <w:t xml:space="preserve">proyecto de Decreto por el que se </w:t>
      </w:r>
      <w:r>
        <w:rPr>
          <w:rFonts w:eastAsia="Calibri"/>
          <w:bCs/>
          <w:szCs w:val="24"/>
          <w:lang w:eastAsia="en-US"/>
        </w:rPr>
        <w:t>adiciona</w:t>
      </w:r>
      <w:r w:rsidRPr="007F2F72">
        <w:rPr>
          <w:rFonts w:eastAsia="Calibri"/>
          <w:bCs/>
          <w:szCs w:val="24"/>
          <w:lang w:eastAsia="en-US"/>
        </w:rPr>
        <w:t xml:space="preserve"> una fracción X al artículo 116 de la Constitución Política de los Estados Unidos Mexicanos, </w:t>
      </w:r>
      <w:r w:rsidR="00A960F1" w:rsidRPr="007F2F72">
        <w:rPr>
          <w:rFonts w:eastAsia="Calibri"/>
          <w:bCs/>
          <w:szCs w:val="24"/>
          <w:lang w:eastAsia="en-US"/>
        </w:rPr>
        <w:t xml:space="preserve">en materia de </w:t>
      </w:r>
      <w:r w:rsidR="00A960F1">
        <w:rPr>
          <w:rFonts w:eastAsia="Calibri"/>
          <w:bCs/>
          <w:szCs w:val="24"/>
          <w:lang w:eastAsia="en-US"/>
        </w:rPr>
        <w:t>símbolos de las entidades federativas</w:t>
      </w:r>
      <w:r w:rsidRPr="007F2F72">
        <w:rPr>
          <w:color w:val="auto"/>
          <w:szCs w:val="24"/>
        </w:rPr>
        <w:t xml:space="preserve">, la cual tuvo a bien turnar </w:t>
      </w:r>
      <w:r w:rsidR="00A960F1">
        <w:rPr>
          <w:color w:val="auto"/>
          <w:szCs w:val="24"/>
        </w:rPr>
        <w:t>a la</w:t>
      </w:r>
      <w:r w:rsidRPr="007F2F72">
        <w:rPr>
          <w:color w:val="auto"/>
          <w:szCs w:val="24"/>
        </w:rPr>
        <w:t xml:space="preserve"> Comisión</w:t>
      </w:r>
      <w:r>
        <w:rPr>
          <w:color w:val="auto"/>
          <w:szCs w:val="24"/>
        </w:rPr>
        <w:t xml:space="preserve"> </w:t>
      </w:r>
      <w:r w:rsidRPr="007F2F72">
        <w:rPr>
          <w:color w:val="auto"/>
          <w:szCs w:val="24"/>
        </w:rPr>
        <w:t xml:space="preserve">de Puntos Constitucionales, para su dictamen. </w:t>
      </w:r>
    </w:p>
    <w:p w14:paraId="2255CD9F" w14:textId="77777777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color w:val="auto"/>
          <w:szCs w:val="24"/>
        </w:rPr>
      </w:pPr>
    </w:p>
    <w:p w14:paraId="50BE100C" w14:textId="72D200AF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color w:val="auto"/>
          <w:szCs w:val="24"/>
        </w:rPr>
      </w:pPr>
      <w:r w:rsidRPr="007F2F72">
        <w:rPr>
          <w:b/>
          <w:color w:val="auto"/>
          <w:szCs w:val="24"/>
        </w:rPr>
        <w:t>CUARTO.</w:t>
      </w:r>
      <w:r w:rsidRPr="007F2F72">
        <w:rPr>
          <w:color w:val="auto"/>
          <w:szCs w:val="24"/>
        </w:rPr>
        <w:t xml:space="preserve"> Es hasta el </w:t>
      </w:r>
      <w:r>
        <w:rPr>
          <w:color w:val="auto"/>
          <w:szCs w:val="24"/>
        </w:rPr>
        <w:t xml:space="preserve">30 </w:t>
      </w:r>
      <w:r w:rsidRPr="007F2F72">
        <w:rPr>
          <w:color w:val="auto"/>
          <w:szCs w:val="24"/>
        </w:rPr>
        <w:t xml:space="preserve">de </w:t>
      </w:r>
      <w:r>
        <w:rPr>
          <w:color w:val="auto"/>
          <w:szCs w:val="24"/>
        </w:rPr>
        <w:t>junio</w:t>
      </w:r>
      <w:r w:rsidRPr="007F2F72">
        <w:rPr>
          <w:color w:val="auto"/>
          <w:szCs w:val="24"/>
        </w:rPr>
        <w:t xml:space="preserve"> de 202</w:t>
      </w:r>
      <w:r w:rsidR="00A960F1">
        <w:rPr>
          <w:color w:val="auto"/>
          <w:szCs w:val="24"/>
        </w:rPr>
        <w:t>2</w:t>
      </w:r>
      <w:r w:rsidRPr="007F2F72">
        <w:rPr>
          <w:color w:val="auto"/>
          <w:szCs w:val="24"/>
        </w:rPr>
        <w:t xml:space="preserve"> cuando se aprueba el d</w:t>
      </w:r>
      <w:r w:rsidR="00A960F1">
        <w:rPr>
          <w:color w:val="auto"/>
          <w:szCs w:val="24"/>
        </w:rPr>
        <w:t xml:space="preserve">ictamen por la comisión </w:t>
      </w:r>
      <w:r w:rsidRPr="007F2F72">
        <w:rPr>
          <w:color w:val="auto"/>
          <w:szCs w:val="24"/>
        </w:rPr>
        <w:t xml:space="preserve">correspondiente, </w:t>
      </w:r>
      <w:r w:rsidR="009C7A54">
        <w:rPr>
          <w:color w:val="auto"/>
          <w:szCs w:val="24"/>
        </w:rPr>
        <w:t>poniéndolo a consideración del P</w:t>
      </w:r>
      <w:r w:rsidRPr="007F2F72">
        <w:rPr>
          <w:color w:val="auto"/>
          <w:szCs w:val="24"/>
        </w:rPr>
        <w:t>leno de la Cámara de Diputados el 1</w:t>
      </w:r>
      <w:r w:rsidR="00A960F1">
        <w:rPr>
          <w:color w:val="auto"/>
          <w:szCs w:val="24"/>
        </w:rPr>
        <w:t>2</w:t>
      </w:r>
      <w:r w:rsidRPr="007F2F72">
        <w:rPr>
          <w:color w:val="auto"/>
          <w:szCs w:val="24"/>
        </w:rPr>
        <w:t xml:space="preserve"> de </w:t>
      </w:r>
      <w:r w:rsidR="00A960F1">
        <w:rPr>
          <w:color w:val="auto"/>
          <w:szCs w:val="24"/>
        </w:rPr>
        <w:t>octubre</w:t>
      </w:r>
      <w:r w:rsidRPr="007F2F72">
        <w:rPr>
          <w:color w:val="auto"/>
          <w:szCs w:val="24"/>
        </w:rPr>
        <w:t xml:space="preserve"> de ese mismo año, el cual fue discutido y aprobado en sus términos. </w:t>
      </w:r>
    </w:p>
    <w:p w14:paraId="267A7A8C" w14:textId="77777777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b/>
          <w:color w:val="auto"/>
          <w:szCs w:val="24"/>
        </w:rPr>
      </w:pPr>
      <w:r w:rsidRPr="007F2F72">
        <w:rPr>
          <w:color w:val="auto"/>
          <w:szCs w:val="24"/>
        </w:rPr>
        <w:t xml:space="preserve"> </w:t>
      </w:r>
    </w:p>
    <w:p w14:paraId="43BC0CB3" w14:textId="53E97967" w:rsidR="007F2F72" w:rsidRPr="007F2F72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8"/>
        <w:rPr>
          <w:color w:val="auto"/>
          <w:szCs w:val="24"/>
        </w:rPr>
      </w:pPr>
      <w:r w:rsidRPr="007F2F72">
        <w:rPr>
          <w:b/>
          <w:color w:val="auto"/>
          <w:szCs w:val="24"/>
        </w:rPr>
        <w:t xml:space="preserve">QUINTO. </w:t>
      </w:r>
      <w:r w:rsidRPr="007F2F72">
        <w:rPr>
          <w:color w:val="auto"/>
          <w:szCs w:val="24"/>
        </w:rPr>
        <w:t>Consecuentemente, mediante oficio número D.G.P.L. 6</w:t>
      </w:r>
      <w:r w:rsidR="00A960F1">
        <w:rPr>
          <w:color w:val="auto"/>
          <w:szCs w:val="24"/>
        </w:rPr>
        <w:t>5-II-5</w:t>
      </w:r>
      <w:r w:rsidRPr="007F2F72">
        <w:rPr>
          <w:color w:val="auto"/>
          <w:szCs w:val="24"/>
        </w:rPr>
        <w:t>-</w:t>
      </w:r>
      <w:r w:rsidR="00A960F1">
        <w:rPr>
          <w:color w:val="auto"/>
          <w:szCs w:val="24"/>
        </w:rPr>
        <w:t>0810, suscrito en fecha 12</w:t>
      </w:r>
      <w:r w:rsidRPr="007F2F72">
        <w:rPr>
          <w:color w:val="auto"/>
          <w:szCs w:val="24"/>
        </w:rPr>
        <w:t xml:space="preserve"> de </w:t>
      </w:r>
      <w:r w:rsidR="00A960F1">
        <w:rPr>
          <w:color w:val="auto"/>
          <w:szCs w:val="24"/>
        </w:rPr>
        <w:t>octubre</w:t>
      </w:r>
      <w:r w:rsidRPr="007F2F72">
        <w:rPr>
          <w:color w:val="auto"/>
          <w:szCs w:val="24"/>
        </w:rPr>
        <w:t xml:space="preserve"> de 202</w:t>
      </w:r>
      <w:r w:rsidR="00A960F1">
        <w:rPr>
          <w:color w:val="auto"/>
          <w:szCs w:val="24"/>
        </w:rPr>
        <w:t>2</w:t>
      </w:r>
      <w:r w:rsidRPr="007F2F72">
        <w:rPr>
          <w:color w:val="auto"/>
          <w:szCs w:val="24"/>
        </w:rPr>
        <w:t xml:space="preserve">, este H. Congreso del Estado recibió el 21 de </w:t>
      </w:r>
      <w:r w:rsidR="00A960F1">
        <w:rPr>
          <w:color w:val="auto"/>
          <w:szCs w:val="24"/>
        </w:rPr>
        <w:t>octubre</w:t>
      </w:r>
      <w:r w:rsidRPr="007F2F72">
        <w:rPr>
          <w:color w:val="auto"/>
          <w:szCs w:val="24"/>
        </w:rPr>
        <w:t xml:space="preserve"> del</w:t>
      </w:r>
      <w:r w:rsidR="00A960F1">
        <w:rPr>
          <w:color w:val="auto"/>
          <w:szCs w:val="24"/>
        </w:rPr>
        <w:t xml:space="preserve"> presente año</w:t>
      </w:r>
      <w:r w:rsidRPr="007F2F72">
        <w:rPr>
          <w:color w:val="auto"/>
          <w:szCs w:val="24"/>
        </w:rPr>
        <w:t xml:space="preserve">, a través de su Secretaría General, el expediente que contiene la </w:t>
      </w:r>
      <w:r w:rsidRPr="007F2F72">
        <w:rPr>
          <w:rFonts w:eastAsiaTheme="minorEastAsia"/>
          <w:color w:val="auto"/>
          <w:szCs w:val="24"/>
        </w:rPr>
        <w:t xml:space="preserve">Minuta con </w:t>
      </w:r>
      <w:r w:rsidRPr="007F2F72">
        <w:rPr>
          <w:color w:val="auto"/>
          <w:szCs w:val="24"/>
        </w:rPr>
        <w:t xml:space="preserve">proyecto de Decreto por el que se </w:t>
      </w:r>
      <w:r w:rsidR="00A960F1">
        <w:rPr>
          <w:rFonts w:eastAsia="Calibri"/>
          <w:bCs/>
          <w:szCs w:val="24"/>
          <w:lang w:eastAsia="en-US"/>
        </w:rPr>
        <w:t>adiciona</w:t>
      </w:r>
      <w:r w:rsidR="00A960F1" w:rsidRPr="007F2F72">
        <w:rPr>
          <w:rFonts w:eastAsia="Calibri"/>
          <w:bCs/>
          <w:szCs w:val="24"/>
          <w:lang w:eastAsia="en-US"/>
        </w:rPr>
        <w:t xml:space="preserve"> una fracción X al artículo 116 de la Constitución Política de los Estados Unidos Mexicanos, en materia </w:t>
      </w:r>
      <w:r w:rsidR="00A960F1" w:rsidRPr="007F2F72">
        <w:rPr>
          <w:rFonts w:eastAsia="Calibri"/>
          <w:bCs/>
          <w:szCs w:val="24"/>
          <w:lang w:eastAsia="en-US"/>
        </w:rPr>
        <w:lastRenderedPageBreak/>
        <w:t xml:space="preserve">de </w:t>
      </w:r>
      <w:r w:rsidR="00A960F1">
        <w:rPr>
          <w:rFonts w:eastAsia="Calibri"/>
          <w:bCs/>
          <w:szCs w:val="24"/>
          <w:lang w:eastAsia="en-US"/>
        </w:rPr>
        <w:t>símbolos de las entidades federativas</w:t>
      </w:r>
      <w:r w:rsidRPr="007F2F72">
        <w:rPr>
          <w:color w:val="auto"/>
          <w:szCs w:val="24"/>
        </w:rPr>
        <w:t>, para los efectos establecidos en el artículo 135 de nuestra Carta Magna.</w:t>
      </w:r>
    </w:p>
    <w:p w14:paraId="203FFF94" w14:textId="77777777" w:rsidR="007F2F72" w:rsidRPr="007F2F72" w:rsidRDefault="007F2F72" w:rsidP="007F2F72">
      <w:pPr>
        <w:pStyle w:val="Textoindependiente2"/>
        <w:spacing w:after="0" w:line="360" w:lineRule="auto"/>
        <w:ind w:left="0" w:right="0"/>
        <w:rPr>
          <w:b/>
          <w:szCs w:val="24"/>
        </w:rPr>
      </w:pPr>
    </w:p>
    <w:p w14:paraId="523C8E5B" w14:textId="31CE2243" w:rsidR="007F2F72" w:rsidRPr="007F2F72" w:rsidRDefault="007F2F72" w:rsidP="007F2F72">
      <w:pPr>
        <w:pStyle w:val="Textoindependiente2"/>
        <w:spacing w:after="0" w:line="360" w:lineRule="auto"/>
        <w:ind w:left="0" w:right="0" w:firstLine="708"/>
        <w:rPr>
          <w:b/>
          <w:szCs w:val="24"/>
        </w:rPr>
      </w:pPr>
      <w:r w:rsidRPr="007F2F72">
        <w:rPr>
          <w:b/>
          <w:szCs w:val="24"/>
        </w:rPr>
        <w:t xml:space="preserve">SEXTO. </w:t>
      </w:r>
      <w:r w:rsidRPr="007F2F72">
        <w:rPr>
          <w:szCs w:val="24"/>
        </w:rPr>
        <w:t xml:space="preserve">Por lo tanto, la multicitada minuta, fue turnada en </w:t>
      </w:r>
      <w:r w:rsidR="00027296">
        <w:rPr>
          <w:szCs w:val="24"/>
        </w:rPr>
        <w:t>S</w:t>
      </w:r>
      <w:r w:rsidRPr="007F2F72">
        <w:rPr>
          <w:szCs w:val="24"/>
        </w:rPr>
        <w:t xml:space="preserve">esión </w:t>
      </w:r>
      <w:r w:rsidR="00027296">
        <w:rPr>
          <w:szCs w:val="24"/>
        </w:rPr>
        <w:t>O</w:t>
      </w:r>
      <w:r w:rsidRPr="007F2F72">
        <w:rPr>
          <w:szCs w:val="24"/>
        </w:rPr>
        <w:t xml:space="preserve">rdinaria del </w:t>
      </w:r>
      <w:r w:rsidR="00027296">
        <w:rPr>
          <w:szCs w:val="24"/>
        </w:rPr>
        <w:t>P</w:t>
      </w:r>
      <w:r w:rsidRPr="007F2F72">
        <w:rPr>
          <w:szCs w:val="24"/>
        </w:rPr>
        <w:t xml:space="preserve">leno de fecha </w:t>
      </w:r>
      <w:r w:rsidR="00A960F1">
        <w:rPr>
          <w:szCs w:val="24"/>
        </w:rPr>
        <w:t>26</w:t>
      </w:r>
      <w:r w:rsidRPr="007F2F72">
        <w:rPr>
          <w:szCs w:val="24"/>
        </w:rPr>
        <w:t xml:space="preserve"> de </w:t>
      </w:r>
      <w:r w:rsidR="00A960F1">
        <w:rPr>
          <w:szCs w:val="24"/>
        </w:rPr>
        <w:t>octubre</w:t>
      </w:r>
      <w:r w:rsidRPr="007F2F72">
        <w:rPr>
          <w:szCs w:val="24"/>
        </w:rPr>
        <w:t xml:space="preserve"> de 202</w:t>
      </w:r>
      <w:r w:rsidR="00A960F1">
        <w:rPr>
          <w:szCs w:val="24"/>
        </w:rPr>
        <w:t>2</w:t>
      </w:r>
      <w:r w:rsidRPr="007F2F72">
        <w:rPr>
          <w:szCs w:val="24"/>
        </w:rPr>
        <w:t xml:space="preserve"> a esta Comisión Permanente de Puntos Constitucionales y Gobernación, para los efectos legales correspondientes, siendo distribuida a las diputadas y</w:t>
      </w:r>
      <w:r w:rsidR="009C7A54">
        <w:rPr>
          <w:szCs w:val="24"/>
        </w:rPr>
        <w:t xml:space="preserve"> diputados integrantes de esta Comisión P</w:t>
      </w:r>
      <w:r w:rsidRPr="007F2F72">
        <w:rPr>
          <w:szCs w:val="24"/>
        </w:rPr>
        <w:t>ermanente, para su estudio y análisis.</w:t>
      </w:r>
    </w:p>
    <w:p w14:paraId="782E1EBC" w14:textId="77777777" w:rsidR="007F2F72" w:rsidRPr="007F2F72" w:rsidRDefault="007F2F72" w:rsidP="007F2F72">
      <w:pPr>
        <w:pStyle w:val="Textoindependiente2"/>
        <w:spacing w:after="0" w:line="360" w:lineRule="auto"/>
        <w:ind w:left="0" w:right="0"/>
        <w:rPr>
          <w:b/>
          <w:szCs w:val="24"/>
        </w:rPr>
      </w:pPr>
    </w:p>
    <w:p w14:paraId="1C5DFECC" w14:textId="6BAE6DE1" w:rsidR="007F2F72" w:rsidRPr="007F2F72" w:rsidRDefault="007F2F72" w:rsidP="007F2F72">
      <w:pPr>
        <w:pStyle w:val="Textoindependiente2"/>
        <w:spacing w:after="0" w:line="360" w:lineRule="auto"/>
        <w:ind w:left="0" w:right="0" w:firstLine="709"/>
        <w:rPr>
          <w:szCs w:val="24"/>
        </w:rPr>
      </w:pPr>
      <w:r w:rsidRPr="007F2F72">
        <w:rPr>
          <w:szCs w:val="24"/>
        </w:rPr>
        <w:t>Con base en los antecedentes antes citados, las diputadas y</w:t>
      </w:r>
      <w:r w:rsidR="009C7A54">
        <w:rPr>
          <w:szCs w:val="24"/>
        </w:rPr>
        <w:t xml:space="preserve"> diputados integrantes de esta Comisión P</w:t>
      </w:r>
      <w:r w:rsidRPr="007F2F72">
        <w:rPr>
          <w:szCs w:val="24"/>
        </w:rPr>
        <w:t>ermanente, realizamos las siguientes,</w:t>
      </w:r>
    </w:p>
    <w:p w14:paraId="5D048C2F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1282CA22" w14:textId="562C1981" w:rsidR="007F2F72" w:rsidRPr="007F2F72" w:rsidRDefault="00E13B80" w:rsidP="007F2F72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 O N S I D E R A C I O N E S</w:t>
      </w:r>
    </w:p>
    <w:p w14:paraId="3E9132C6" w14:textId="77777777" w:rsidR="007F2F72" w:rsidRPr="007F2F72" w:rsidRDefault="007F2F72" w:rsidP="007F2F72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6355A726" w14:textId="03523DCA" w:rsidR="007F2F72" w:rsidRPr="007F2F72" w:rsidRDefault="00A12DF9" w:rsidP="007F2F72">
      <w:pPr>
        <w:pStyle w:val="Textoindependiente3"/>
        <w:spacing w:after="0" w:line="360" w:lineRule="auto"/>
        <w:ind w:left="0" w:right="0" w:firstLine="709"/>
        <w:rPr>
          <w:sz w:val="24"/>
          <w:szCs w:val="24"/>
        </w:rPr>
      </w:pPr>
      <w:r>
        <w:rPr>
          <w:b/>
          <w:sz w:val="24"/>
          <w:szCs w:val="24"/>
        </w:rPr>
        <w:t>PRIMERA.</w:t>
      </w:r>
      <w:r w:rsidR="007F2F72" w:rsidRPr="007F2F72">
        <w:rPr>
          <w:sz w:val="24"/>
          <w:szCs w:val="24"/>
        </w:rPr>
        <w:t xml:space="preserve"> De conformidad con lo establecido en el artículo 135 de la Constitución Política de los Estados Unidos Mexicanos, para que las adiciones o reformas lleguen a ser partes de la misma, es necesario que el Congreso de la Unión, por el voto de las dos terceras partes de los miembros presentes, acuerden las reformas o adiciones, y que estas sean aprobadas por la mayoría de las legislaturas de los Estados y de la Ciudad de México. </w:t>
      </w:r>
    </w:p>
    <w:p w14:paraId="67FA591C" w14:textId="77777777" w:rsidR="007F2F72" w:rsidRPr="007F2F72" w:rsidRDefault="007F2F72" w:rsidP="007F2F72">
      <w:pPr>
        <w:pStyle w:val="Textoindependiente3"/>
        <w:spacing w:after="0" w:line="360" w:lineRule="auto"/>
        <w:ind w:left="0" w:right="0" w:firstLine="709"/>
        <w:rPr>
          <w:sz w:val="24"/>
          <w:szCs w:val="24"/>
        </w:rPr>
      </w:pPr>
    </w:p>
    <w:p w14:paraId="0A396E21" w14:textId="2786256B" w:rsidR="007F2F72" w:rsidRPr="007F2F72" w:rsidRDefault="007F2F72" w:rsidP="007F2F72">
      <w:pPr>
        <w:pStyle w:val="Textoindependiente3"/>
        <w:spacing w:after="0" w:line="360" w:lineRule="auto"/>
        <w:ind w:left="0" w:right="0" w:firstLine="709"/>
        <w:rPr>
          <w:bCs/>
          <w:sz w:val="24"/>
          <w:szCs w:val="24"/>
        </w:rPr>
      </w:pPr>
      <w:r w:rsidRPr="007F2F72">
        <w:rPr>
          <w:sz w:val="24"/>
          <w:szCs w:val="24"/>
        </w:rPr>
        <w:t>Derivado de lo anterior, como parte integrante del Constituyente Permanente de los Estados Unidos Mexicanos, en uso de la facultad que la Carta Magna le confiere a esta legislatura, se procede al análisis y emisión del presente dictamen con fundamento en el artículo 43</w:t>
      </w:r>
      <w:r w:rsidR="00027296">
        <w:rPr>
          <w:sz w:val="24"/>
          <w:szCs w:val="24"/>
        </w:rPr>
        <w:t>,</w:t>
      </w:r>
      <w:r w:rsidRPr="007F2F72">
        <w:rPr>
          <w:sz w:val="24"/>
          <w:szCs w:val="24"/>
        </w:rPr>
        <w:t xml:space="preserve"> fracción I</w:t>
      </w:r>
      <w:r w:rsidR="00027296">
        <w:rPr>
          <w:sz w:val="24"/>
          <w:szCs w:val="24"/>
        </w:rPr>
        <w:t>,</w:t>
      </w:r>
      <w:r w:rsidRPr="007F2F72">
        <w:rPr>
          <w:sz w:val="24"/>
          <w:szCs w:val="24"/>
        </w:rPr>
        <w:t xml:space="preserve"> inciso a) de la Ley de Gobierno del Poder Legislativo del Estado de Yucatán, que faculta a esta Comisión Permanente de Puntos Constitucionales y Gobernación, para conocer </w:t>
      </w:r>
      <w:r w:rsidRPr="007F2F72">
        <w:rPr>
          <w:bCs/>
          <w:sz w:val="24"/>
          <w:szCs w:val="24"/>
        </w:rPr>
        <w:t>sobre los asuntos relacionados con las reformas a la Constitución Política de los Estados Unidos Mexicanos.</w:t>
      </w:r>
    </w:p>
    <w:p w14:paraId="58428B21" w14:textId="77777777" w:rsidR="007F2F72" w:rsidRPr="007F2F72" w:rsidRDefault="007F2F72" w:rsidP="007F2F72">
      <w:pPr>
        <w:pStyle w:val="Textoindependiente3"/>
        <w:spacing w:after="0" w:line="360" w:lineRule="auto"/>
        <w:ind w:left="0" w:right="0" w:firstLine="709"/>
        <w:rPr>
          <w:bCs/>
          <w:sz w:val="24"/>
          <w:szCs w:val="24"/>
        </w:rPr>
      </w:pPr>
    </w:p>
    <w:p w14:paraId="48FE213B" w14:textId="3A4860E4" w:rsidR="00275929" w:rsidRDefault="007F2F72" w:rsidP="00275929">
      <w:pPr>
        <w:spacing w:after="0" w:line="355" w:lineRule="auto"/>
        <w:ind w:left="11" w:right="0" w:firstLine="697"/>
      </w:pPr>
      <w:r w:rsidRPr="007F2F72">
        <w:rPr>
          <w:b/>
          <w:szCs w:val="24"/>
        </w:rPr>
        <w:t>SEGUNDA.</w:t>
      </w:r>
      <w:r w:rsidR="00275929" w:rsidRPr="00275929">
        <w:t xml:space="preserve"> </w:t>
      </w:r>
      <w:r w:rsidR="00275929">
        <w:t xml:space="preserve">El artículo 1° de la Ley sobre el Escudo, la Bandera y el Himno Nacionales, establece que el Escudo, la Bandera y el Himno Nacionales son los Símbolos Patrios de los Estados Unidos Mexicanos. Para llegar al texto de ese artículo ocurrieron procesos históricos que contribuyeron a crear y transformar estos símbolos que hablan del surgimiento de una nación independiente. </w:t>
      </w:r>
    </w:p>
    <w:p w14:paraId="5A121854" w14:textId="77777777" w:rsidR="00275929" w:rsidRDefault="00275929" w:rsidP="00275929">
      <w:pPr>
        <w:spacing w:after="0" w:line="355" w:lineRule="auto"/>
        <w:ind w:left="11" w:right="0" w:hanging="11"/>
      </w:pPr>
    </w:p>
    <w:p w14:paraId="584DC340" w14:textId="50DCB829" w:rsidR="00275929" w:rsidRDefault="00275929" w:rsidP="00F417CE">
      <w:pPr>
        <w:spacing w:after="0" w:line="355" w:lineRule="auto"/>
        <w:ind w:left="0" w:right="0" w:firstLine="697"/>
      </w:pPr>
      <w:r>
        <w:t xml:space="preserve">La ley vigente que rige a los símbolos patrios fue publicada el 8 de febrero de 1984 en el </w:t>
      </w:r>
      <w:r>
        <w:rPr>
          <w:i/>
        </w:rPr>
        <w:t>Diario Oficial de la Federación</w:t>
      </w:r>
      <w:r>
        <w:t>. En su momento, se consideró que a través de esa ley era necesario refrendar un “</w:t>
      </w:r>
      <w:r>
        <w:rPr>
          <w:i/>
        </w:rPr>
        <w:t xml:space="preserve">compromiso solidario como mexicanos y a revalorar, lo que sin desmedro del pluralismo consubstancial a un sistema democrático, constituye un punto de afinidad indiscutible: los símbolos patrios.” </w:t>
      </w:r>
      <w:r>
        <w:t>Entonces, en la iniciativa de la ley vigente se invocó que “</w:t>
      </w:r>
      <w:r>
        <w:rPr>
          <w:i/>
        </w:rPr>
        <w:t>la defensa de nuestra identidad no riñe con el espíritu de universalidad</w:t>
      </w:r>
      <w:r>
        <w:t>”</w:t>
      </w:r>
      <w:hyperlink r:id="rId8" w:anchor="_ftn1">
        <w:r>
          <w:t>,</w:t>
        </w:r>
      </w:hyperlink>
      <w:r w:rsidR="0008132A">
        <w:t xml:space="preserve"> </w:t>
      </w:r>
      <w:hyperlink r:id="rId9" w:anchor="_ftn1">
        <w:r>
          <w:t>e</w:t>
        </w:r>
      </w:hyperlink>
      <w:r>
        <w:t xml:space="preserve">specialmente fundado en los ideales de igualdad y fraternidad sostenidos históricamente por la Constitución. </w:t>
      </w:r>
    </w:p>
    <w:p w14:paraId="028C838D" w14:textId="14EC3C4F" w:rsidR="007F2F72" w:rsidRPr="00F417CE" w:rsidRDefault="007F2F72" w:rsidP="00F417CE">
      <w:pPr>
        <w:pStyle w:val="Textoindependiente3"/>
        <w:spacing w:after="0" w:line="360" w:lineRule="auto"/>
        <w:ind w:left="0" w:right="0" w:firstLine="709"/>
        <w:rPr>
          <w:i/>
          <w:sz w:val="24"/>
          <w:szCs w:val="24"/>
        </w:rPr>
      </w:pPr>
    </w:p>
    <w:p w14:paraId="37E1C5D7" w14:textId="77777777" w:rsidR="00275929" w:rsidRDefault="00275929" w:rsidP="00F417CE">
      <w:pPr>
        <w:spacing w:after="0"/>
        <w:ind w:left="0" w:right="0" w:firstLine="708"/>
      </w:pPr>
      <w:r>
        <w:t xml:space="preserve">La soberanía de las entidades federativas, se encuentra consagrada en el artículo 41 de la Constitución Política de los Estados Unidos Mexicanos, respetando en todo momento el pacto federal, que a la letra dice: </w:t>
      </w:r>
    </w:p>
    <w:p w14:paraId="60BCD005" w14:textId="77777777" w:rsidR="00275929" w:rsidRDefault="00275929" w:rsidP="00275929">
      <w:pPr>
        <w:spacing w:after="0"/>
        <w:ind w:left="0" w:right="0"/>
      </w:pPr>
    </w:p>
    <w:p w14:paraId="5FAF641F" w14:textId="66A0F2B8" w:rsidR="00275929" w:rsidRPr="00AC24D6" w:rsidRDefault="00275929" w:rsidP="00E13B80">
      <w:pPr>
        <w:spacing w:after="0" w:line="240" w:lineRule="auto"/>
        <w:ind w:left="284" w:right="629"/>
        <w:rPr>
          <w:sz w:val="20"/>
          <w:szCs w:val="20"/>
        </w:rPr>
      </w:pPr>
      <w:r w:rsidRPr="00AC24D6">
        <w:rPr>
          <w:i/>
          <w:sz w:val="20"/>
          <w:szCs w:val="20"/>
        </w:rPr>
        <w:t>“Artículo 41. El pueblo ejerce su soberanía por medio de los Poderes de la Unión, en los casos de la competencia de éstos, y por los de los Estados y la Ciudad de México, en lo que toca a sus regímenes interiores, en los términos respectivamente establecidos por la presente Constitución Federal y las particulares de cada Estado y de la Ciudad de México, las que en ningún caso podrán contravenir las estipulaciones del Pacto Federal”…</w:t>
      </w:r>
      <w:r w:rsidRPr="00AC24D6">
        <w:rPr>
          <w:sz w:val="20"/>
          <w:szCs w:val="20"/>
        </w:rPr>
        <w:t xml:space="preserve"> </w:t>
      </w:r>
    </w:p>
    <w:p w14:paraId="54D49279" w14:textId="77777777" w:rsidR="00275929" w:rsidRPr="00E13B80" w:rsidRDefault="00275929" w:rsidP="00275929">
      <w:pPr>
        <w:spacing w:after="0" w:line="360" w:lineRule="auto"/>
        <w:ind w:left="284" w:right="204"/>
        <w:rPr>
          <w:sz w:val="22"/>
        </w:rPr>
      </w:pPr>
    </w:p>
    <w:p w14:paraId="698A8655" w14:textId="77777777" w:rsidR="00275929" w:rsidRDefault="00275929" w:rsidP="00275929">
      <w:pPr>
        <w:spacing w:after="0"/>
        <w:ind w:left="0" w:right="0" w:firstLine="274"/>
      </w:pPr>
      <w:r>
        <w:t xml:space="preserve">Por lo anterior, el hablar de los símbolos de las entidades federativas únicamente reafirma sus facultades de soberanía en el marco de una nación pluricultural. </w:t>
      </w:r>
    </w:p>
    <w:p w14:paraId="7A04033F" w14:textId="5582A8A1" w:rsidR="009C7A54" w:rsidRDefault="009C7A54">
      <w:pPr>
        <w:spacing w:after="160" w:line="259" w:lineRule="auto"/>
        <w:ind w:left="0" w:right="0" w:firstLine="0"/>
        <w:jc w:val="left"/>
      </w:pPr>
      <w:r>
        <w:br w:type="page"/>
      </w:r>
    </w:p>
    <w:p w14:paraId="02505AE7" w14:textId="0C8144C0" w:rsidR="00275929" w:rsidRDefault="00275929" w:rsidP="00275929">
      <w:pPr>
        <w:spacing w:after="0"/>
        <w:ind w:left="0" w:right="0" w:firstLine="274"/>
      </w:pPr>
      <w:r>
        <w:t>Cada entidad federativa de la República cuenta con un desarrollo histórico particular como parte de México, así como prácticas sociales y culturales específicas que forman parte de su patrimonio material e inmaterial. Cabe señalar que la protección del patrimonio ha sido refrendada a través de la Convención para la Salvaguardia del Patrimonio Cultural Inmaterial, aprobada por la Conferencia General de la Organización de las Naciones Unidas para la Educación, la Ciencia y la Cultura (UNESCO) en 2003, y adoptada por México el 9 de febrero de 2006. Este tiene como objetivo principal salvaguardar los usos, representaciones, expresiones, conocimientos y técnicas que las comunidades, los grupos y, en algunos casos, los individuos, reconocen como parte integrante de su patrimonio cultural. Asimismo la convención en su artículo 1</w:t>
      </w:r>
      <w:r w:rsidR="009C7A54">
        <w:t>,</w:t>
      </w:r>
      <w:r>
        <w:t xml:space="preserve"> inciso c</w:t>
      </w:r>
      <w:r w:rsidR="009C7A54">
        <w:t>,</w:t>
      </w:r>
      <w:r>
        <w:t xml:space="preserve"> señala la “sensibilización” respecto al patrimonio como fin. </w:t>
      </w:r>
    </w:p>
    <w:p w14:paraId="06FD792F" w14:textId="77777777" w:rsidR="00275929" w:rsidRDefault="00275929" w:rsidP="00275929">
      <w:pPr>
        <w:spacing w:after="0"/>
        <w:ind w:left="0" w:right="0"/>
      </w:pPr>
    </w:p>
    <w:p w14:paraId="5FBBF23C" w14:textId="77777777" w:rsidR="00275929" w:rsidRDefault="00275929" w:rsidP="00275929">
      <w:pPr>
        <w:spacing w:after="0"/>
        <w:ind w:left="0" w:right="0" w:firstLine="274"/>
      </w:pPr>
      <w:r>
        <w:t xml:space="preserve">De acuerdo a dicha Convención, el patrimonio cultural se transmite de generación en generación, es recreado constantemente por las comunidades y grupos en función de su entorno, su interacción con la naturaleza y su historia, infundiéndoles un sentimiento de identidad y continuidad y contribuyendo así a promover el respeto de la diversidad cultural y la creatividad humana, y que cada país podrá adoptar las medidas necesarias para salvaguardarlo. </w:t>
      </w:r>
    </w:p>
    <w:p w14:paraId="451EA5C3" w14:textId="77777777" w:rsidR="00275929" w:rsidRDefault="00275929" w:rsidP="00275929">
      <w:pPr>
        <w:spacing w:after="0"/>
        <w:ind w:left="0" w:right="0"/>
      </w:pPr>
    </w:p>
    <w:p w14:paraId="0B0C0499" w14:textId="073B090D" w:rsidR="00275929" w:rsidRPr="00F417CE" w:rsidRDefault="00171BDB" w:rsidP="00F417CE">
      <w:pPr>
        <w:spacing w:after="0"/>
        <w:ind w:left="0" w:right="0" w:firstLine="274"/>
        <w:rPr>
          <w:szCs w:val="24"/>
        </w:rPr>
      </w:pPr>
      <w:r w:rsidRPr="00F417CE">
        <w:rPr>
          <w:b/>
          <w:color w:val="0E0E0E"/>
          <w:szCs w:val="24"/>
        </w:rPr>
        <w:t>TERCERA</w:t>
      </w:r>
      <w:r w:rsidRPr="00F417CE">
        <w:rPr>
          <w:color w:val="0E0E0E"/>
          <w:szCs w:val="24"/>
        </w:rPr>
        <w:t>.</w:t>
      </w:r>
      <w:r w:rsidR="007F2F72" w:rsidRPr="00F417CE">
        <w:rPr>
          <w:color w:val="0E0E0E"/>
          <w:szCs w:val="24"/>
        </w:rPr>
        <w:t xml:space="preserve"> </w:t>
      </w:r>
      <w:r w:rsidR="00F417CE" w:rsidRPr="00F417CE">
        <w:rPr>
          <w:color w:val="0E0E0E"/>
          <w:szCs w:val="24"/>
        </w:rPr>
        <w:t>Es por ello, que l</w:t>
      </w:r>
      <w:r w:rsidR="00275929" w:rsidRPr="00F417CE">
        <w:rPr>
          <w:szCs w:val="24"/>
        </w:rPr>
        <w:t xml:space="preserve">os símbolos de las entidades federativas forman parte del patrimonio cultural de las mismas, que representan procesos históricos y prácticas que son específicas y distintivas. De manera fáctica todos los estados utilizan escudos, y en ocasiones himnos. En cuanto a banderas, los estados de Jalisco, Quintana Roo y Tamaulipas cuentan con reconocimiento legal de símbolos propios en su cuerpo normativo, incluyendo banderas. </w:t>
      </w:r>
    </w:p>
    <w:p w14:paraId="43CA11B1" w14:textId="77777777" w:rsidR="00275929" w:rsidRPr="00F417CE" w:rsidRDefault="00275929" w:rsidP="00F417CE">
      <w:pPr>
        <w:pStyle w:val="Textoindependiente"/>
        <w:spacing w:line="360" w:lineRule="auto"/>
        <w:ind w:firstLine="709"/>
        <w:rPr>
          <w:rFonts w:ascii="Arial" w:hAnsi="Arial" w:cs="Arial"/>
          <w:b/>
          <w:color w:val="0E0E0E"/>
          <w:sz w:val="24"/>
          <w:szCs w:val="24"/>
        </w:rPr>
      </w:pPr>
    </w:p>
    <w:p w14:paraId="4A187D4D" w14:textId="1479CD8B" w:rsidR="00275929" w:rsidRPr="00F417CE" w:rsidRDefault="007F2F72" w:rsidP="00F417CE">
      <w:pPr>
        <w:spacing w:after="0"/>
        <w:ind w:left="0" w:right="0" w:firstLine="274"/>
        <w:rPr>
          <w:szCs w:val="24"/>
        </w:rPr>
      </w:pPr>
      <w:r w:rsidRPr="00F417CE">
        <w:rPr>
          <w:color w:val="0E0E0E"/>
          <w:szCs w:val="24"/>
        </w:rPr>
        <w:t xml:space="preserve">Es por ello, que esta Minuta </w:t>
      </w:r>
      <w:r w:rsidR="00275929" w:rsidRPr="00F417CE">
        <w:rPr>
          <w:szCs w:val="24"/>
        </w:rPr>
        <w:t xml:space="preserve">deja la posibilidad de que los estados regulen la forma en que sus símbolos los identifican para fortalecer y preservar su patrimonio en el marco de las reformas constitucionales hacia un México pluricultural. </w:t>
      </w:r>
    </w:p>
    <w:p w14:paraId="08B7F072" w14:textId="3A1583B3" w:rsidR="007F2F72" w:rsidRPr="00F417CE" w:rsidRDefault="007F2F72" w:rsidP="00F417CE">
      <w:pPr>
        <w:pStyle w:val="Textoindependiente"/>
        <w:spacing w:line="360" w:lineRule="auto"/>
        <w:ind w:firstLine="709"/>
        <w:rPr>
          <w:rFonts w:ascii="Arial" w:hAnsi="Arial" w:cs="Arial"/>
          <w:color w:val="0E0E0E"/>
          <w:sz w:val="24"/>
          <w:szCs w:val="24"/>
        </w:rPr>
      </w:pPr>
    </w:p>
    <w:p w14:paraId="546B0AAD" w14:textId="20188DEB" w:rsidR="00F417CE" w:rsidRPr="00F417CE" w:rsidRDefault="00F417CE" w:rsidP="00F417CE">
      <w:pPr>
        <w:spacing w:after="0"/>
        <w:ind w:left="0" w:right="0" w:firstLine="274"/>
        <w:rPr>
          <w:szCs w:val="24"/>
        </w:rPr>
      </w:pPr>
      <w:r w:rsidRPr="00F417CE">
        <w:rPr>
          <w:szCs w:val="24"/>
        </w:rPr>
        <w:t xml:space="preserve">En este tenor, la presente </w:t>
      </w:r>
      <w:r w:rsidR="00027296">
        <w:rPr>
          <w:szCs w:val="24"/>
        </w:rPr>
        <w:t>M</w:t>
      </w:r>
      <w:r>
        <w:rPr>
          <w:szCs w:val="24"/>
        </w:rPr>
        <w:t xml:space="preserve">inuta </w:t>
      </w:r>
      <w:r w:rsidR="00027296">
        <w:rPr>
          <w:szCs w:val="24"/>
        </w:rPr>
        <w:t>F</w:t>
      </w:r>
      <w:r>
        <w:rPr>
          <w:szCs w:val="24"/>
        </w:rPr>
        <w:t>ederal</w:t>
      </w:r>
      <w:r w:rsidRPr="00F417CE">
        <w:rPr>
          <w:szCs w:val="24"/>
        </w:rPr>
        <w:t xml:space="preserve"> adiciona la fracción X</w:t>
      </w:r>
      <w:r w:rsidR="00027296">
        <w:rPr>
          <w:szCs w:val="24"/>
        </w:rPr>
        <w:t xml:space="preserve"> </w:t>
      </w:r>
      <w:r w:rsidRPr="00F417CE">
        <w:rPr>
          <w:szCs w:val="24"/>
        </w:rPr>
        <w:t xml:space="preserve">al artículo 116 de la Constitución Política de los Estados Unidos Mexicanos, con el objetivo de que las Legislaturas de los Congresos Locales puedan legislar en materia de símbolos estatales, a fin de fomentar el patrimonio cultural, historia e identidad de los estados que conforman la República, respetando en todo momento la supremacía de los símbolos patrios, contemplados en la Ley Sobre el Escudo, la Bandera y el Himno Nacionales. </w:t>
      </w:r>
    </w:p>
    <w:p w14:paraId="3FBCDD4F" w14:textId="77777777" w:rsidR="00171BDB" w:rsidRPr="00F417CE" w:rsidRDefault="00171BDB" w:rsidP="00F417CE">
      <w:pPr>
        <w:pStyle w:val="Textoindependiente"/>
        <w:spacing w:line="360" w:lineRule="auto"/>
        <w:ind w:firstLine="709"/>
        <w:rPr>
          <w:rFonts w:ascii="Arial" w:eastAsiaTheme="minorEastAsia" w:hAnsi="Arial" w:cs="Arial"/>
          <w:sz w:val="24"/>
          <w:szCs w:val="24"/>
        </w:rPr>
      </w:pPr>
    </w:p>
    <w:p w14:paraId="512EECF9" w14:textId="03A58200" w:rsidR="004D72B1" w:rsidRPr="00F417CE" w:rsidRDefault="00171BDB" w:rsidP="00F417CE">
      <w:pPr>
        <w:pStyle w:val="Textoindependient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417CE">
        <w:rPr>
          <w:rFonts w:ascii="Arial" w:eastAsiaTheme="minorEastAsia" w:hAnsi="Arial" w:cs="Arial"/>
          <w:b/>
          <w:bCs/>
          <w:sz w:val="24"/>
          <w:szCs w:val="24"/>
        </w:rPr>
        <w:t>CUARTA</w:t>
      </w:r>
      <w:r w:rsidR="007F2F72" w:rsidRPr="00F417CE">
        <w:rPr>
          <w:rFonts w:ascii="Arial" w:eastAsiaTheme="minorEastAsia" w:hAnsi="Arial" w:cs="Arial"/>
          <w:b/>
          <w:bCs/>
          <w:sz w:val="24"/>
          <w:szCs w:val="24"/>
        </w:rPr>
        <w:t xml:space="preserve">. </w:t>
      </w:r>
      <w:r w:rsidR="007F2F72" w:rsidRPr="00F417CE">
        <w:rPr>
          <w:rFonts w:ascii="Arial" w:eastAsiaTheme="minorEastAsia" w:hAnsi="Arial" w:cs="Arial"/>
          <w:sz w:val="24"/>
          <w:szCs w:val="24"/>
        </w:rPr>
        <w:t>Puntualizado lo ant</w:t>
      </w:r>
      <w:r w:rsidR="009C7A54">
        <w:rPr>
          <w:rFonts w:ascii="Arial" w:eastAsiaTheme="minorEastAsia" w:hAnsi="Arial" w:cs="Arial"/>
          <w:sz w:val="24"/>
          <w:szCs w:val="24"/>
        </w:rPr>
        <w:t>erior, quienes integramos esta Comisión P</w:t>
      </w:r>
      <w:r w:rsidR="007F2F72" w:rsidRPr="00F417CE">
        <w:rPr>
          <w:rFonts w:ascii="Arial" w:eastAsiaTheme="minorEastAsia" w:hAnsi="Arial" w:cs="Arial"/>
          <w:sz w:val="24"/>
          <w:szCs w:val="24"/>
        </w:rPr>
        <w:t xml:space="preserve">ermanente, podemos observar que con </w:t>
      </w:r>
      <w:r w:rsidRPr="00F417CE">
        <w:rPr>
          <w:rFonts w:ascii="Arial" w:eastAsiaTheme="minorEastAsia" w:hAnsi="Arial" w:cs="Arial"/>
          <w:sz w:val="24"/>
          <w:szCs w:val="24"/>
        </w:rPr>
        <w:t xml:space="preserve">esta adición </w:t>
      </w:r>
      <w:r w:rsidR="007F2F72" w:rsidRPr="00F417CE">
        <w:rPr>
          <w:rFonts w:ascii="Arial" w:hAnsi="Arial" w:cs="Arial"/>
          <w:sz w:val="24"/>
          <w:szCs w:val="24"/>
        </w:rPr>
        <w:t xml:space="preserve">se </w:t>
      </w:r>
      <w:r w:rsidRPr="00F417CE">
        <w:rPr>
          <w:rFonts w:ascii="Arial" w:hAnsi="Arial" w:cs="Arial"/>
          <w:sz w:val="24"/>
          <w:szCs w:val="24"/>
        </w:rPr>
        <w:t xml:space="preserve">va reconoce la composición pluricultural de nuestra Nación, que resulta necesario ampliar los derechos </w:t>
      </w:r>
      <w:proofErr w:type="spellStart"/>
      <w:r w:rsidRPr="00F417CE">
        <w:rPr>
          <w:rFonts w:ascii="Arial" w:hAnsi="Arial" w:cs="Arial"/>
          <w:sz w:val="24"/>
          <w:szCs w:val="24"/>
        </w:rPr>
        <w:t>identitarios</w:t>
      </w:r>
      <w:proofErr w:type="spellEnd"/>
      <w:r w:rsidR="009C7A54">
        <w:rPr>
          <w:rFonts w:ascii="Arial" w:hAnsi="Arial" w:cs="Arial"/>
          <w:sz w:val="24"/>
          <w:szCs w:val="24"/>
        </w:rPr>
        <w:t xml:space="preserve"> de las entidades f</w:t>
      </w:r>
      <w:r w:rsidRPr="00F417CE">
        <w:rPr>
          <w:rFonts w:ascii="Arial" w:hAnsi="Arial" w:cs="Arial"/>
          <w:sz w:val="24"/>
          <w:szCs w:val="24"/>
        </w:rPr>
        <w:t xml:space="preserve">ederativas. </w:t>
      </w:r>
      <w:r w:rsidR="004D72B1" w:rsidRPr="00F417CE">
        <w:rPr>
          <w:rFonts w:ascii="Arial" w:hAnsi="Arial" w:cs="Arial"/>
          <w:sz w:val="24"/>
          <w:szCs w:val="24"/>
        </w:rPr>
        <w:t>Resulta necesario adoptar una nueva postura respecto de los procesos históricos y prácticas que distinguen a cada Entidad Federativa. De forma que el pluralismo nos permita actualizar nuestra visión respecto de los símbolos específicos de cada entidad</w:t>
      </w:r>
      <w:r w:rsidR="00027296">
        <w:rPr>
          <w:rFonts w:ascii="Arial" w:hAnsi="Arial" w:cs="Arial"/>
          <w:sz w:val="24"/>
          <w:szCs w:val="24"/>
        </w:rPr>
        <w:t>.</w:t>
      </w:r>
    </w:p>
    <w:p w14:paraId="10FB1264" w14:textId="77777777" w:rsidR="004D72B1" w:rsidRPr="00F417CE" w:rsidRDefault="004D72B1" w:rsidP="00F417CE">
      <w:pPr>
        <w:pStyle w:val="Textoindependiente3"/>
        <w:adjustRightInd w:val="0"/>
        <w:spacing w:after="0" w:line="360" w:lineRule="auto"/>
        <w:ind w:left="0" w:right="0" w:firstLine="709"/>
        <w:rPr>
          <w:sz w:val="24"/>
          <w:szCs w:val="24"/>
        </w:rPr>
      </w:pPr>
    </w:p>
    <w:p w14:paraId="4F40D098" w14:textId="372438D8" w:rsidR="007F2F72" w:rsidRPr="004D72B1" w:rsidRDefault="007F2F72" w:rsidP="007F2F72">
      <w:pPr>
        <w:pStyle w:val="Textoindependiente3"/>
        <w:adjustRightInd w:val="0"/>
        <w:spacing w:after="0" w:line="360" w:lineRule="auto"/>
        <w:ind w:left="0" w:right="0" w:firstLine="709"/>
        <w:rPr>
          <w:sz w:val="24"/>
          <w:szCs w:val="24"/>
        </w:rPr>
      </w:pPr>
      <w:r w:rsidRPr="004D72B1">
        <w:rPr>
          <w:sz w:val="24"/>
          <w:szCs w:val="24"/>
        </w:rPr>
        <w:t>En consecuencia, este Congreso considera viable la minuta en</w:t>
      </w:r>
      <w:r w:rsidR="004D72B1" w:rsidRPr="004D72B1">
        <w:rPr>
          <w:rFonts w:eastAsia="Calibri"/>
          <w:bCs/>
          <w:sz w:val="24"/>
          <w:szCs w:val="24"/>
          <w:lang w:eastAsia="en-US"/>
        </w:rPr>
        <w:t xml:space="preserve"> materia de símbolos de las entidades federativas</w:t>
      </w:r>
      <w:r w:rsidRPr="004D72B1">
        <w:rPr>
          <w:sz w:val="24"/>
          <w:szCs w:val="24"/>
        </w:rPr>
        <w:t>, t</w:t>
      </w:r>
      <w:r w:rsidR="004D72B1" w:rsidRPr="004D72B1">
        <w:rPr>
          <w:sz w:val="24"/>
          <w:szCs w:val="24"/>
        </w:rPr>
        <w:t>o</w:t>
      </w:r>
      <w:r w:rsidRPr="004D72B1">
        <w:rPr>
          <w:sz w:val="24"/>
          <w:szCs w:val="24"/>
        </w:rPr>
        <w:t xml:space="preserve">da vez que </w:t>
      </w:r>
      <w:r w:rsidR="004D72B1">
        <w:rPr>
          <w:sz w:val="24"/>
          <w:szCs w:val="24"/>
        </w:rPr>
        <w:t>fomentara a incentivar la aprobación de leyes locales que reconozcan formalmente el uso de los símbolos de las entidades federativas. Esto, a su vez, reafirmara la postura de que los himnos, banderas y otros símbolos de identidad local forman parte del patrimonio cultural de las entidades federativas y representan procesos históricos y prácticas que les son específicas y distintivas</w:t>
      </w:r>
      <w:r w:rsidR="00027296">
        <w:rPr>
          <w:sz w:val="24"/>
          <w:szCs w:val="24"/>
        </w:rPr>
        <w:t>.</w:t>
      </w:r>
    </w:p>
    <w:p w14:paraId="048F303D" w14:textId="77777777" w:rsidR="007F2F72" w:rsidRPr="007F2F72" w:rsidRDefault="007F2F72" w:rsidP="007F2F72">
      <w:pPr>
        <w:pStyle w:val="Textoindependiente3"/>
        <w:adjustRightInd w:val="0"/>
        <w:spacing w:after="0" w:line="360" w:lineRule="auto"/>
        <w:ind w:left="0" w:right="0" w:firstLine="709"/>
        <w:rPr>
          <w:bCs/>
          <w:sz w:val="24"/>
          <w:szCs w:val="24"/>
        </w:rPr>
      </w:pPr>
    </w:p>
    <w:p w14:paraId="043A3F8C" w14:textId="5FD9E88D" w:rsidR="007F2F72" w:rsidRPr="004D72B1" w:rsidRDefault="007F2F72" w:rsidP="007F2F72">
      <w:pPr>
        <w:pStyle w:val="Textoindependiente3"/>
        <w:adjustRightInd w:val="0"/>
        <w:spacing w:after="0" w:line="360" w:lineRule="auto"/>
        <w:ind w:left="0" w:right="0" w:firstLine="709"/>
        <w:rPr>
          <w:bCs/>
          <w:sz w:val="24"/>
          <w:szCs w:val="24"/>
        </w:rPr>
      </w:pPr>
      <w:r w:rsidRPr="004D72B1">
        <w:rPr>
          <w:sz w:val="24"/>
          <w:szCs w:val="24"/>
        </w:rPr>
        <w:t xml:space="preserve">En tal virtud este cuerpo legislativo, valida los cambios constitucionales propuestos en la Minuta con proyecto de Decreto por el que se </w:t>
      </w:r>
      <w:r w:rsidR="004D72B1" w:rsidRPr="004D72B1">
        <w:rPr>
          <w:rFonts w:eastAsia="Calibri"/>
          <w:bCs/>
          <w:sz w:val="24"/>
          <w:szCs w:val="24"/>
          <w:lang w:eastAsia="en-US"/>
        </w:rPr>
        <w:t>adiciona una fracción X</w:t>
      </w:r>
      <w:r w:rsidR="009C7A54">
        <w:rPr>
          <w:rFonts w:eastAsia="Calibri"/>
          <w:bCs/>
          <w:sz w:val="24"/>
          <w:szCs w:val="24"/>
          <w:lang w:eastAsia="en-US"/>
        </w:rPr>
        <w:t>,</w:t>
      </w:r>
      <w:r w:rsidR="004D72B1" w:rsidRPr="004D72B1">
        <w:rPr>
          <w:rFonts w:eastAsia="Calibri"/>
          <w:bCs/>
          <w:sz w:val="24"/>
          <w:szCs w:val="24"/>
          <w:lang w:eastAsia="en-US"/>
        </w:rPr>
        <w:t xml:space="preserve"> al artículo 116 de la Constitución Política de los Estados Unidos Mexicanos, en materia de símbolos de las entidades federativas</w:t>
      </w:r>
      <w:r w:rsidRPr="004D72B1">
        <w:rPr>
          <w:sz w:val="24"/>
          <w:szCs w:val="24"/>
        </w:rPr>
        <w:t xml:space="preserve">, mismo que fue remitido por la Cámara de </w:t>
      </w:r>
      <w:r w:rsidRPr="004D72B1">
        <w:rPr>
          <w:sz w:val="24"/>
          <w:szCs w:val="24"/>
          <w:shd w:val="clear" w:color="auto" w:fill="FFFFFF" w:themeFill="background1"/>
        </w:rPr>
        <w:t>Diputados del</w:t>
      </w:r>
      <w:r w:rsidRPr="004D72B1">
        <w:rPr>
          <w:sz w:val="24"/>
          <w:szCs w:val="24"/>
        </w:rPr>
        <w:t xml:space="preserve"> H. Congreso de la Unión. </w:t>
      </w:r>
    </w:p>
    <w:p w14:paraId="49A497DB" w14:textId="77777777" w:rsidR="007F2F72" w:rsidRPr="007F2F72" w:rsidRDefault="007F2F72" w:rsidP="007F2F72">
      <w:pPr>
        <w:pStyle w:val="Texto"/>
        <w:spacing w:after="0" w:line="360" w:lineRule="auto"/>
        <w:ind w:firstLine="708"/>
        <w:rPr>
          <w:sz w:val="24"/>
          <w:szCs w:val="24"/>
        </w:rPr>
      </w:pPr>
    </w:p>
    <w:p w14:paraId="4A6276AA" w14:textId="77777777" w:rsidR="007F2F72" w:rsidRPr="007F2F72" w:rsidRDefault="007F2F72" w:rsidP="007F2F72">
      <w:pPr>
        <w:pStyle w:val="Textoindependiente2"/>
        <w:shd w:val="clear" w:color="auto" w:fill="FFFFFF"/>
        <w:spacing w:after="0" w:line="360" w:lineRule="auto"/>
        <w:ind w:left="0" w:right="0" w:firstLine="567"/>
        <w:rPr>
          <w:szCs w:val="24"/>
        </w:rPr>
      </w:pPr>
      <w:r w:rsidRPr="007F2F72">
        <w:rPr>
          <w:szCs w:val="24"/>
          <w:lang w:val="es-ES"/>
        </w:rPr>
        <w:t>Por</w:t>
      </w:r>
      <w:r w:rsidRPr="007F2F72">
        <w:rPr>
          <w:szCs w:val="24"/>
        </w:rPr>
        <w:t xml:space="preserve"> todo lo expuesto y fundado en los artículos 135 de la Constitución Política de los Estados Unidos Mexicanos; 30 fracción V de la Constitución Política, 18, 43 fracción I inciso a) y 44 fracción VIII de la Ley de Gobierno del Poder Legislativo, 71 fracción I y 72 del Reglamento de la Ley de Gobierno del Poder Legislativo, todos éstos últimos ordenamientos del Estado de Yucatán, sometemos a consideración del Pleno del Congreso del Estado de Yucatán, el siguiente proyecto de,</w:t>
      </w:r>
    </w:p>
    <w:p w14:paraId="3E6F23E3" w14:textId="77777777" w:rsidR="007F2F72" w:rsidRPr="007F2F72" w:rsidRDefault="007F2F72" w:rsidP="007F2F72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  <w:lang w:val="es-ES_tradnl" w:eastAsia="es-ES"/>
        </w:rPr>
      </w:pPr>
      <w:r w:rsidRPr="007F2F72">
        <w:rPr>
          <w:szCs w:val="24"/>
        </w:rPr>
        <w:br w:type="page"/>
      </w:r>
    </w:p>
    <w:p w14:paraId="48C083EC" w14:textId="77777777" w:rsidR="007F2F72" w:rsidRPr="007F2F72" w:rsidRDefault="007F2F72" w:rsidP="0008132A">
      <w:pPr>
        <w:pStyle w:val="Textoindependiente2"/>
        <w:shd w:val="clear" w:color="auto" w:fill="FFFFFF"/>
        <w:spacing w:after="0" w:line="360" w:lineRule="auto"/>
        <w:ind w:left="0" w:right="0" w:firstLine="0"/>
        <w:jc w:val="center"/>
        <w:rPr>
          <w:b/>
          <w:sz w:val="22"/>
        </w:rPr>
      </w:pPr>
      <w:r w:rsidRPr="007F2F72">
        <w:rPr>
          <w:b/>
          <w:sz w:val="22"/>
        </w:rPr>
        <w:t>D E C R E T O</w:t>
      </w:r>
    </w:p>
    <w:p w14:paraId="1C91C104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1EA6667C" w14:textId="480502E7" w:rsidR="007F2F72" w:rsidRPr="004D72B1" w:rsidRDefault="007F2F72" w:rsidP="007F2F72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 w:val="22"/>
          <w:lang w:eastAsia="es-ES_tradnl"/>
        </w:rPr>
      </w:pPr>
      <w:r w:rsidRPr="004D72B1">
        <w:rPr>
          <w:rFonts w:eastAsiaTheme="minorHAnsi"/>
          <w:b/>
          <w:color w:val="auto"/>
          <w:sz w:val="22"/>
          <w:lang w:eastAsia="en-US"/>
        </w:rPr>
        <w:t xml:space="preserve">Artículo Único.- </w:t>
      </w:r>
      <w:r w:rsidRPr="004D72B1">
        <w:rPr>
          <w:rFonts w:eastAsiaTheme="minorHAnsi"/>
          <w:color w:val="auto"/>
          <w:sz w:val="22"/>
          <w:lang w:eastAsia="en-US"/>
        </w:rPr>
        <w:t xml:space="preserve">El H. Congreso del Estado de Yucatán aprueba en sus términos la Minuta con Proyecto de Decreto de fecha </w:t>
      </w:r>
      <w:r w:rsidR="004D72B1" w:rsidRPr="004D72B1">
        <w:rPr>
          <w:rFonts w:eastAsiaTheme="minorHAnsi"/>
          <w:color w:val="auto"/>
          <w:sz w:val="22"/>
          <w:lang w:eastAsia="en-US"/>
        </w:rPr>
        <w:t>12</w:t>
      </w:r>
      <w:r w:rsidRPr="004D72B1">
        <w:rPr>
          <w:rFonts w:eastAsiaTheme="minorHAnsi"/>
          <w:color w:val="auto"/>
          <w:sz w:val="22"/>
          <w:lang w:eastAsia="en-US"/>
        </w:rPr>
        <w:t xml:space="preserve"> de </w:t>
      </w:r>
      <w:r w:rsidR="004D72B1" w:rsidRPr="004D72B1">
        <w:rPr>
          <w:rFonts w:eastAsiaTheme="minorHAnsi"/>
          <w:color w:val="auto"/>
          <w:sz w:val="22"/>
          <w:lang w:eastAsia="en-US"/>
        </w:rPr>
        <w:t>octubre</w:t>
      </w:r>
      <w:r w:rsidRPr="004D72B1">
        <w:rPr>
          <w:rFonts w:eastAsiaTheme="minorHAnsi"/>
          <w:color w:val="auto"/>
          <w:sz w:val="22"/>
          <w:lang w:eastAsia="en-US"/>
        </w:rPr>
        <w:t xml:space="preserve"> del año 202</w:t>
      </w:r>
      <w:r w:rsidR="004D72B1" w:rsidRPr="004D72B1">
        <w:rPr>
          <w:rFonts w:eastAsiaTheme="minorHAnsi"/>
          <w:color w:val="auto"/>
          <w:sz w:val="22"/>
          <w:lang w:eastAsia="en-US"/>
        </w:rPr>
        <w:t>2</w:t>
      </w:r>
      <w:r w:rsidRPr="004D72B1">
        <w:rPr>
          <w:rFonts w:eastAsiaTheme="minorHAnsi"/>
          <w:color w:val="auto"/>
          <w:sz w:val="22"/>
          <w:lang w:eastAsia="en-US"/>
        </w:rPr>
        <w:t xml:space="preserve">, enviada por la Cámara de Diputados del H. Congreso de la Unión, por medio del cual se </w:t>
      </w:r>
      <w:r w:rsidR="004D72B1" w:rsidRPr="004D72B1">
        <w:rPr>
          <w:rFonts w:eastAsia="Calibri"/>
          <w:bCs/>
          <w:sz w:val="22"/>
          <w:lang w:eastAsia="en-US"/>
        </w:rPr>
        <w:t>adiciona una fracción X al artículo 116 de la Constitución Política de los Estados Unidos Mexicanos, en materia de símbolos de las entidades federativas</w:t>
      </w:r>
      <w:r w:rsidRPr="004D72B1">
        <w:rPr>
          <w:rFonts w:eastAsiaTheme="minorHAnsi"/>
          <w:color w:val="auto"/>
          <w:sz w:val="22"/>
          <w:lang w:eastAsia="es-ES_tradnl"/>
        </w:rPr>
        <w:t>, para quedar en los siguientes términos:</w:t>
      </w:r>
    </w:p>
    <w:p w14:paraId="70B66714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209D67C6" w14:textId="77777777" w:rsidR="007F2F72" w:rsidRPr="007F2F72" w:rsidRDefault="007F2F72" w:rsidP="007F2F72">
      <w:pPr>
        <w:pStyle w:val="Default"/>
        <w:jc w:val="center"/>
        <w:rPr>
          <w:b/>
          <w:color w:val="auto"/>
          <w:lang w:eastAsia="es-ES_tradnl"/>
        </w:rPr>
      </w:pPr>
      <w:r w:rsidRPr="007F2F72">
        <w:rPr>
          <w:b/>
          <w:color w:val="auto"/>
          <w:lang w:eastAsia="es-ES_tradnl"/>
        </w:rPr>
        <w:t>M I N U T A</w:t>
      </w:r>
    </w:p>
    <w:p w14:paraId="51A2D3FF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</w:p>
    <w:p w14:paraId="6EABB8E6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7F2F72">
        <w:rPr>
          <w:b/>
          <w:color w:val="auto"/>
          <w:sz w:val="22"/>
          <w:szCs w:val="22"/>
          <w:lang w:eastAsia="es-ES_tradnl"/>
        </w:rPr>
        <w:t xml:space="preserve">PROYECTO </w:t>
      </w:r>
    </w:p>
    <w:p w14:paraId="4CE13289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7F2F72">
        <w:rPr>
          <w:b/>
          <w:color w:val="auto"/>
          <w:sz w:val="22"/>
          <w:szCs w:val="22"/>
          <w:lang w:eastAsia="es-ES_tradnl"/>
        </w:rPr>
        <w:t xml:space="preserve">DE </w:t>
      </w:r>
    </w:p>
    <w:p w14:paraId="765C89A8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7F2F72">
        <w:rPr>
          <w:b/>
          <w:color w:val="auto"/>
          <w:sz w:val="22"/>
          <w:szCs w:val="22"/>
          <w:lang w:eastAsia="es-ES_tradnl"/>
        </w:rPr>
        <w:t>DECRETO</w:t>
      </w:r>
    </w:p>
    <w:p w14:paraId="5719F4B5" w14:textId="77777777" w:rsidR="007F2F72" w:rsidRPr="007F2F72" w:rsidRDefault="007F2F72" w:rsidP="007F2F72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</w:p>
    <w:p w14:paraId="7EE1B05F" w14:textId="014D7E19" w:rsidR="007F2F72" w:rsidRPr="004D72B1" w:rsidRDefault="004D72B1" w:rsidP="004D72B1">
      <w:pPr>
        <w:spacing w:after="0" w:line="240" w:lineRule="auto"/>
        <w:ind w:left="0" w:right="0" w:firstLine="0"/>
        <w:rPr>
          <w:rFonts w:eastAsia="Calibri"/>
          <w:b/>
          <w:bCs/>
          <w:sz w:val="22"/>
          <w:lang w:eastAsia="en-US"/>
        </w:rPr>
      </w:pPr>
      <w:r w:rsidRPr="004D72B1">
        <w:rPr>
          <w:b/>
          <w:sz w:val="22"/>
        </w:rPr>
        <w:t xml:space="preserve">POR EL QUE SE </w:t>
      </w:r>
      <w:r w:rsidRPr="004D72B1">
        <w:rPr>
          <w:rFonts w:eastAsia="Calibri"/>
          <w:b/>
          <w:bCs/>
          <w:sz w:val="22"/>
          <w:lang w:eastAsia="en-US"/>
        </w:rPr>
        <w:t>ADICIONA UNA FRACCIÓN X AL ARTÍCULO 116 DE LA CONSTITUCIÓN POLÍTICA DE LOS ESTADOS UNIDOS MEXICANOS, EN MATERIA DE SÍMBOL</w:t>
      </w:r>
      <w:r>
        <w:rPr>
          <w:rFonts w:eastAsia="Calibri"/>
          <w:b/>
          <w:bCs/>
          <w:sz w:val="22"/>
          <w:lang w:eastAsia="en-US"/>
        </w:rPr>
        <w:t>OS DE LAS ENTIDADES FEDERATIVAS</w:t>
      </w:r>
    </w:p>
    <w:p w14:paraId="7A576778" w14:textId="77777777" w:rsidR="004D72B1" w:rsidRPr="007F2F72" w:rsidRDefault="004D72B1" w:rsidP="004D72B1">
      <w:pPr>
        <w:spacing w:after="0" w:line="240" w:lineRule="auto"/>
        <w:ind w:left="0" w:right="0" w:firstLine="0"/>
        <w:rPr>
          <w:b/>
          <w:sz w:val="22"/>
        </w:rPr>
      </w:pPr>
    </w:p>
    <w:p w14:paraId="33382D77" w14:textId="6D21B319" w:rsidR="007F2F72" w:rsidRPr="004D72B1" w:rsidRDefault="007F2F72" w:rsidP="007F2F72">
      <w:pPr>
        <w:spacing w:after="0" w:line="360" w:lineRule="auto"/>
        <w:ind w:left="0" w:right="0" w:firstLine="0"/>
        <w:rPr>
          <w:sz w:val="22"/>
        </w:rPr>
      </w:pPr>
      <w:r w:rsidRPr="004D72B1">
        <w:rPr>
          <w:b/>
          <w:sz w:val="22"/>
        </w:rPr>
        <w:t>Artículo Único. -</w:t>
      </w:r>
      <w:r w:rsidRPr="004D72B1">
        <w:rPr>
          <w:sz w:val="22"/>
        </w:rPr>
        <w:t xml:space="preserve"> Se </w:t>
      </w:r>
      <w:r w:rsidR="004D72B1" w:rsidRPr="004D72B1">
        <w:rPr>
          <w:rFonts w:eastAsia="Calibri"/>
          <w:bCs/>
          <w:sz w:val="22"/>
          <w:lang w:eastAsia="en-US"/>
        </w:rPr>
        <w:t xml:space="preserve">adiciona una fracción X al artículo 116 de la Constitución Política de los Estados Unidos Mexicanos, </w:t>
      </w:r>
      <w:r w:rsidRPr="004D72B1">
        <w:rPr>
          <w:sz w:val="22"/>
        </w:rPr>
        <w:t xml:space="preserve">para quedar como sigue: </w:t>
      </w:r>
    </w:p>
    <w:p w14:paraId="0D34F8F0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0EE801A6" w14:textId="71808726" w:rsidR="007F2F72" w:rsidRPr="004D72B1" w:rsidRDefault="007F2F72" w:rsidP="004D72B1">
      <w:pPr>
        <w:spacing w:after="0" w:line="360" w:lineRule="auto"/>
        <w:ind w:left="0" w:right="0" w:firstLine="0"/>
        <w:rPr>
          <w:sz w:val="22"/>
        </w:rPr>
      </w:pPr>
      <w:r w:rsidRPr="007F2F72">
        <w:rPr>
          <w:b/>
          <w:sz w:val="22"/>
        </w:rPr>
        <w:t xml:space="preserve">Artículo </w:t>
      </w:r>
      <w:r w:rsidR="004D72B1">
        <w:rPr>
          <w:b/>
          <w:sz w:val="22"/>
        </w:rPr>
        <w:t>116</w:t>
      </w:r>
      <w:r w:rsidRPr="007F2F72">
        <w:rPr>
          <w:b/>
          <w:sz w:val="22"/>
        </w:rPr>
        <w:t xml:space="preserve">. </w:t>
      </w:r>
      <w:r w:rsidR="004D72B1" w:rsidRPr="004D72B1">
        <w:rPr>
          <w:sz w:val="22"/>
        </w:rPr>
        <w:t>…</w:t>
      </w:r>
    </w:p>
    <w:p w14:paraId="6ACDBC1B" w14:textId="77777777" w:rsidR="004D72B1" w:rsidRDefault="004D72B1" w:rsidP="004D72B1">
      <w:pPr>
        <w:spacing w:after="0" w:line="360" w:lineRule="auto"/>
        <w:ind w:left="0" w:right="0" w:firstLine="0"/>
        <w:rPr>
          <w:b/>
          <w:sz w:val="22"/>
        </w:rPr>
      </w:pPr>
    </w:p>
    <w:p w14:paraId="71B64906" w14:textId="0CA2ECF2" w:rsidR="004D72B1" w:rsidRPr="004D72B1" w:rsidRDefault="004D72B1" w:rsidP="004D72B1">
      <w:pPr>
        <w:spacing w:after="0" w:line="360" w:lineRule="auto"/>
        <w:ind w:left="0" w:right="0" w:firstLine="0"/>
        <w:rPr>
          <w:sz w:val="22"/>
        </w:rPr>
      </w:pPr>
      <w:r w:rsidRPr="004D72B1">
        <w:rPr>
          <w:sz w:val="22"/>
        </w:rPr>
        <w:t>…</w:t>
      </w:r>
    </w:p>
    <w:p w14:paraId="6389730B" w14:textId="77777777" w:rsidR="004D72B1" w:rsidRDefault="004D72B1" w:rsidP="004D72B1">
      <w:pPr>
        <w:spacing w:after="0" w:line="360" w:lineRule="auto"/>
        <w:ind w:left="0" w:right="0" w:firstLine="0"/>
        <w:rPr>
          <w:b/>
          <w:sz w:val="22"/>
        </w:rPr>
      </w:pPr>
    </w:p>
    <w:p w14:paraId="6168B64F" w14:textId="4C46189C" w:rsidR="004D72B1" w:rsidRDefault="004D72B1" w:rsidP="004D72B1">
      <w:pPr>
        <w:spacing w:after="0" w:line="360" w:lineRule="auto"/>
        <w:ind w:left="0" w:right="0" w:firstLine="0"/>
        <w:rPr>
          <w:b/>
          <w:sz w:val="22"/>
        </w:rPr>
      </w:pPr>
      <w:r>
        <w:rPr>
          <w:b/>
          <w:sz w:val="22"/>
        </w:rPr>
        <w:t xml:space="preserve">I </w:t>
      </w:r>
      <w:r w:rsidRPr="004D72B1">
        <w:rPr>
          <w:sz w:val="22"/>
        </w:rPr>
        <w:t>a</w:t>
      </w:r>
      <w:r>
        <w:rPr>
          <w:b/>
          <w:sz w:val="22"/>
        </w:rPr>
        <w:t xml:space="preserve"> IX. …</w:t>
      </w:r>
    </w:p>
    <w:p w14:paraId="382AF86E" w14:textId="77777777" w:rsidR="004D72B1" w:rsidRDefault="004D72B1" w:rsidP="004D72B1">
      <w:pPr>
        <w:spacing w:after="0" w:line="360" w:lineRule="auto"/>
        <w:ind w:left="0" w:right="0" w:firstLine="0"/>
        <w:rPr>
          <w:b/>
          <w:color w:val="auto"/>
          <w:sz w:val="22"/>
        </w:rPr>
      </w:pPr>
    </w:p>
    <w:p w14:paraId="2B0F5A18" w14:textId="667FF7E7" w:rsidR="004D72B1" w:rsidRPr="00221EE2" w:rsidRDefault="004D72B1" w:rsidP="004D72B1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b/>
          <w:color w:val="auto"/>
          <w:sz w:val="22"/>
        </w:rPr>
        <w:t xml:space="preserve">X. </w:t>
      </w:r>
      <w:r w:rsidRPr="00221EE2">
        <w:rPr>
          <w:color w:val="auto"/>
          <w:sz w:val="22"/>
        </w:rPr>
        <w:t>Las Legislaturas de las entidades federativas, observando en todo momento la supremacía de los símbolos patrios,</w:t>
      </w:r>
      <w:r w:rsidR="00221EE2" w:rsidRPr="00221EE2">
        <w:rPr>
          <w:color w:val="auto"/>
          <w:sz w:val="22"/>
        </w:rPr>
        <w:t xml:space="preserve"> </w:t>
      </w:r>
      <w:r w:rsidRPr="00221EE2">
        <w:rPr>
          <w:color w:val="auto"/>
          <w:sz w:val="22"/>
        </w:rPr>
        <w:t>podrá legislar</w:t>
      </w:r>
      <w:r w:rsidR="00221EE2" w:rsidRPr="00221EE2">
        <w:rPr>
          <w:color w:val="auto"/>
          <w:sz w:val="22"/>
        </w:rPr>
        <w:t xml:space="preserve"> en materia de símbolos estatales, como son</w:t>
      </w:r>
      <w:r w:rsidR="00221EE2">
        <w:rPr>
          <w:color w:val="auto"/>
          <w:sz w:val="22"/>
        </w:rPr>
        <w:t>:</w:t>
      </w:r>
      <w:r w:rsidR="00221EE2" w:rsidRPr="00221EE2">
        <w:rPr>
          <w:color w:val="auto"/>
          <w:sz w:val="22"/>
        </w:rPr>
        <w:t xml:space="preserve"> himno, escudo y bandera, a fin de fomentar el patrimonio cultural, la historia y la identidad local.</w:t>
      </w:r>
    </w:p>
    <w:p w14:paraId="7594041C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4A6E98F6" w14:textId="77777777" w:rsidR="007F2F72" w:rsidRPr="007F2F72" w:rsidRDefault="007F2F72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7F2F72">
        <w:rPr>
          <w:b/>
          <w:color w:val="auto"/>
          <w:sz w:val="22"/>
        </w:rPr>
        <w:t>Transitorio</w:t>
      </w:r>
    </w:p>
    <w:p w14:paraId="0FEEF9B3" w14:textId="23E0DCB4" w:rsidR="007F2F72" w:rsidRPr="007F2F72" w:rsidRDefault="007F2F72" w:rsidP="007F2F72">
      <w:pPr>
        <w:spacing w:after="0" w:line="360" w:lineRule="auto"/>
        <w:ind w:left="0" w:right="0" w:firstLine="0"/>
        <w:rPr>
          <w:color w:val="auto"/>
          <w:sz w:val="22"/>
        </w:rPr>
      </w:pPr>
      <w:r w:rsidRPr="007F2F72">
        <w:rPr>
          <w:b/>
          <w:color w:val="auto"/>
          <w:sz w:val="22"/>
        </w:rPr>
        <w:t>Único</w:t>
      </w:r>
      <w:r w:rsidRPr="007F2F72">
        <w:rPr>
          <w:color w:val="auto"/>
          <w:sz w:val="22"/>
        </w:rPr>
        <w:t xml:space="preserve">. El presente decreto entrará en vigor el </w:t>
      </w:r>
      <w:r w:rsidR="00221EE2" w:rsidRPr="007F2F72">
        <w:rPr>
          <w:color w:val="auto"/>
          <w:sz w:val="22"/>
        </w:rPr>
        <w:t>día</w:t>
      </w:r>
      <w:r w:rsidRPr="007F2F72">
        <w:rPr>
          <w:color w:val="auto"/>
          <w:sz w:val="22"/>
        </w:rPr>
        <w:t xml:space="preserve"> siguiente al de su publicación en el Diario Oficial de la Federación.</w:t>
      </w:r>
    </w:p>
    <w:p w14:paraId="5DEE03D2" w14:textId="77777777" w:rsidR="007F2F72" w:rsidRPr="007F2F72" w:rsidRDefault="007F2F72" w:rsidP="007F2F72">
      <w:pPr>
        <w:spacing w:after="0" w:line="360" w:lineRule="auto"/>
        <w:ind w:left="0" w:right="0" w:firstLine="0"/>
        <w:rPr>
          <w:b/>
          <w:color w:val="auto"/>
          <w:sz w:val="22"/>
        </w:rPr>
      </w:pPr>
    </w:p>
    <w:p w14:paraId="0F15672F" w14:textId="4032FE81" w:rsidR="007F2F72" w:rsidRPr="007F2F72" w:rsidRDefault="009C7A54" w:rsidP="007F2F72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Transitorios</w:t>
      </w:r>
    </w:p>
    <w:p w14:paraId="43242C06" w14:textId="7F5A79DE" w:rsidR="007F2F72" w:rsidRPr="007F2F72" w:rsidRDefault="007F2F72" w:rsidP="007F2F72">
      <w:pPr>
        <w:spacing w:after="0" w:line="360" w:lineRule="auto"/>
        <w:ind w:left="0" w:right="0" w:firstLine="709"/>
        <w:rPr>
          <w:rFonts w:eastAsia="Calibri"/>
          <w:color w:val="auto"/>
          <w:sz w:val="22"/>
          <w:lang w:eastAsia="en-US"/>
        </w:rPr>
      </w:pPr>
      <w:r w:rsidRPr="007F2F72">
        <w:rPr>
          <w:rFonts w:eastAsia="Calibri"/>
          <w:b/>
          <w:color w:val="auto"/>
          <w:sz w:val="22"/>
          <w:lang w:eastAsia="en-US"/>
        </w:rPr>
        <w:t xml:space="preserve">Artículo Primero. </w:t>
      </w:r>
      <w:r w:rsidRPr="007F2F72">
        <w:rPr>
          <w:rFonts w:eastAsia="Calibri"/>
          <w:color w:val="auto"/>
          <w:sz w:val="22"/>
          <w:lang w:eastAsia="en-US"/>
        </w:rPr>
        <w:t xml:space="preserve">Publíquese este decreto en el Diario Oficial del Gobierno del Estado de Yucatán. </w:t>
      </w:r>
    </w:p>
    <w:p w14:paraId="5DB9B3A0" w14:textId="77777777" w:rsidR="007F2F72" w:rsidRPr="007F2F72" w:rsidRDefault="007F2F72" w:rsidP="007F2F72">
      <w:pPr>
        <w:spacing w:after="0" w:line="360" w:lineRule="auto"/>
        <w:ind w:left="0" w:right="0" w:firstLine="0"/>
        <w:rPr>
          <w:rFonts w:eastAsia="Calibri"/>
          <w:b/>
          <w:color w:val="auto"/>
          <w:sz w:val="22"/>
          <w:lang w:eastAsia="en-US"/>
        </w:rPr>
      </w:pPr>
    </w:p>
    <w:p w14:paraId="382CEBF9" w14:textId="6B499CBB" w:rsidR="007F2F72" w:rsidRPr="007F2F72" w:rsidRDefault="009C7A54" w:rsidP="007F2F72">
      <w:pPr>
        <w:spacing w:after="0" w:line="360" w:lineRule="auto"/>
        <w:ind w:left="0" w:right="0" w:firstLine="709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Artículo Segundo.</w:t>
      </w:r>
      <w:r w:rsidR="007F2F72" w:rsidRPr="007F2F72">
        <w:rPr>
          <w:rFonts w:eastAsia="Calibri"/>
          <w:b/>
          <w:color w:val="auto"/>
          <w:sz w:val="22"/>
          <w:lang w:eastAsia="en-US"/>
        </w:rPr>
        <w:t xml:space="preserve"> </w:t>
      </w:r>
      <w:r w:rsidR="007F2F72" w:rsidRPr="007F2F72">
        <w:rPr>
          <w:rFonts w:eastAsia="Calibri"/>
          <w:color w:val="auto"/>
          <w:sz w:val="22"/>
          <w:lang w:eastAsia="en-US"/>
        </w:rPr>
        <w:t>Envíese a la Cámara de Diputados del Honorable Congreso de la Unión, el correspondiente Diario Oficial del Gobierno del Estado de Yucatán, para los efectos legales que correspondan.</w:t>
      </w:r>
    </w:p>
    <w:p w14:paraId="05D1B686" w14:textId="77777777" w:rsidR="000E110E" w:rsidRPr="007F2F72" w:rsidRDefault="000E110E" w:rsidP="007F2F72">
      <w:pPr>
        <w:spacing w:after="0" w:line="240" w:lineRule="auto"/>
        <w:ind w:left="0" w:right="0"/>
        <w:rPr>
          <w:b/>
          <w:szCs w:val="24"/>
        </w:rPr>
      </w:pPr>
      <w:bookmarkStart w:id="0" w:name="_GoBack"/>
    </w:p>
    <w:bookmarkEnd w:id="0"/>
    <w:p w14:paraId="3DD23291" w14:textId="5ABB7A64" w:rsidR="00133737" w:rsidRPr="007F2F72" w:rsidRDefault="0097732F" w:rsidP="007F2F72">
      <w:pPr>
        <w:spacing w:after="0" w:line="240" w:lineRule="auto"/>
        <w:ind w:left="0" w:right="0" w:firstLine="708"/>
        <w:rPr>
          <w:rFonts w:eastAsia="ヒラギノ角ゴ Pro W3"/>
          <w:b/>
          <w:sz w:val="22"/>
        </w:rPr>
      </w:pPr>
      <w:r w:rsidRPr="00AE3337">
        <w:rPr>
          <w:rFonts w:eastAsia="ヒラギノ角ゴ Pro W3"/>
          <w:b/>
          <w:bCs/>
          <w:sz w:val="22"/>
        </w:rPr>
        <w:t>DADO EN LA “SALA DE USOS MÚLTIPLES MAESTRA CONSUELO ZAVALA CASTILLO” DEL RECINTO DEL PODER LEGISLATIVO, EN LA CIUDAD DE MÉRIDA</w:t>
      </w:r>
      <w:r w:rsidRPr="00AE3337">
        <w:rPr>
          <w:rFonts w:eastAsia="ヒラギノ角ゴ Pro W3"/>
          <w:b/>
          <w:sz w:val="22"/>
        </w:rPr>
        <w:t>, YUCATÁN, A LOS VEINTI</w:t>
      </w:r>
      <w:r>
        <w:rPr>
          <w:rFonts w:eastAsia="ヒラギノ角ゴ Pro W3"/>
          <w:b/>
          <w:sz w:val="22"/>
        </w:rPr>
        <w:t>TRÉS</w:t>
      </w:r>
      <w:r w:rsidRPr="00AE3337">
        <w:rPr>
          <w:rFonts w:eastAsia="ヒラギノ角ゴ Pro W3"/>
          <w:b/>
          <w:sz w:val="22"/>
        </w:rPr>
        <w:t xml:space="preserve"> DÍAS DEL MES DE MARZO DEL AÑO DOS MIL VEINTITRÉS.</w:t>
      </w:r>
    </w:p>
    <w:p w14:paraId="43EAAC75" w14:textId="77777777" w:rsidR="00133737" w:rsidRPr="007F2F72" w:rsidRDefault="00133737" w:rsidP="007F2F72">
      <w:pPr>
        <w:pStyle w:val="Textoindependiente"/>
        <w:jc w:val="center"/>
        <w:rPr>
          <w:rFonts w:ascii="Arial" w:hAnsi="Arial" w:cs="Arial"/>
          <w:b/>
          <w:caps/>
          <w:sz w:val="16"/>
          <w:szCs w:val="16"/>
          <w:lang w:val="es-MX"/>
        </w:rPr>
      </w:pPr>
    </w:p>
    <w:p w14:paraId="5FFDE6DD" w14:textId="256853B3" w:rsidR="00133737" w:rsidRPr="007F2F72" w:rsidRDefault="00133737" w:rsidP="007F2F72">
      <w:pPr>
        <w:spacing w:after="0" w:line="240" w:lineRule="auto"/>
        <w:ind w:left="0" w:right="0"/>
        <w:jc w:val="center"/>
        <w:rPr>
          <w:b/>
          <w:sz w:val="22"/>
        </w:rPr>
      </w:pPr>
      <w:r w:rsidRPr="007F2F72">
        <w:rPr>
          <w:b/>
          <w:sz w:val="22"/>
        </w:rPr>
        <w:t>COMISIÓN PERMANENTE DE PUNTOS CONSTITUCIONALES Y GOBERNACIÓN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23"/>
        <w:gridCol w:w="2013"/>
        <w:gridCol w:w="2268"/>
      </w:tblGrid>
      <w:tr w:rsidR="00133737" w:rsidRPr="007F2F72" w14:paraId="261EAFBC" w14:textId="77777777" w:rsidTr="00424184">
        <w:trPr>
          <w:tblHeader/>
          <w:jc w:val="center"/>
        </w:trPr>
        <w:tc>
          <w:tcPr>
            <w:tcW w:w="2405" w:type="dxa"/>
            <w:shd w:val="clear" w:color="auto" w:fill="A6A6A6"/>
          </w:tcPr>
          <w:p w14:paraId="2A8E9350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3AB6348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CARGO</w:t>
            </w:r>
          </w:p>
          <w:p w14:paraId="7B0A48C1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6A6A6"/>
          </w:tcPr>
          <w:p w14:paraId="5495FDE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193ABFC5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nombre</w:t>
            </w:r>
          </w:p>
        </w:tc>
        <w:tc>
          <w:tcPr>
            <w:tcW w:w="2013" w:type="dxa"/>
            <w:shd w:val="clear" w:color="auto" w:fill="A6A6A6"/>
          </w:tcPr>
          <w:p w14:paraId="7DDBA02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6D9C3C8D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VOTO A FAVOR</w:t>
            </w:r>
          </w:p>
        </w:tc>
        <w:tc>
          <w:tcPr>
            <w:tcW w:w="2268" w:type="dxa"/>
            <w:shd w:val="clear" w:color="auto" w:fill="A6A6A6"/>
          </w:tcPr>
          <w:p w14:paraId="1DCBF093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33D8FAEA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VOTO EN CONTRA</w:t>
            </w:r>
          </w:p>
        </w:tc>
      </w:tr>
      <w:tr w:rsidR="00133737" w:rsidRPr="007F2F72" w14:paraId="1EB50C63" w14:textId="77777777" w:rsidTr="00424184">
        <w:trPr>
          <w:jc w:val="center"/>
        </w:trPr>
        <w:tc>
          <w:tcPr>
            <w:tcW w:w="2405" w:type="dxa"/>
            <w:shd w:val="clear" w:color="auto" w:fill="auto"/>
          </w:tcPr>
          <w:p w14:paraId="02489924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3627A563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DA523FE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2A00A05C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PRESIDENTa</w:t>
            </w:r>
          </w:p>
          <w:p w14:paraId="7514A84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3488E192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49B8F550" w14:textId="417B552F" w:rsidR="00133737" w:rsidRPr="007F2F72" w:rsidRDefault="0008395C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7F2F72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337FB44E" wp14:editId="4534F212">
                  <wp:extent cx="777765" cy="956441"/>
                  <wp:effectExtent l="0" t="0" r="381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Carmen González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67" cy="95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99AEA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DIP. CARMEN GUADALUPE GONZÁLEZ MARTÍN</w:t>
            </w:r>
          </w:p>
        </w:tc>
        <w:tc>
          <w:tcPr>
            <w:tcW w:w="2013" w:type="dxa"/>
            <w:shd w:val="clear" w:color="auto" w:fill="auto"/>
          </w:tcPr>
          <w:p w14:paraId="1088D090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14:paraId="6BB5EEB7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es-MX"/>
              </w:rPr>
            </w:pPr>
          </w:p>
          <w:p w14:paraId="3D93CA7B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es-MX"/>
              </w:rPr>
            </w:pPr>
          </w:p>
          <w:p w14:paraId="69CBAF04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es-MX"/>
              </w:rPr>
            </w:pPr>
          </w:p>
          <w:p w14:paraId="46062098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es-MX"/>
              </w:rPr>
            </w:pPr>
          </w:p>
          <w:p w14:paraId="741D2F86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es-MX"/>
              </w:rPr>
            </w:pPr>
          </w:p>
        </w:tc>
      </w:tr>
      <w:tr w:rsidR="00133737" w:rsidRPr="007F2F72" w14:paraId="735F9346" w14:textId="77777777" w:rsidTr="00424184">
        <w:trPr>
          <w:jc w:val="center"/>
        </w:trPr>
        <w:tc>
          <w:tcPr>
            <w:tcW w:w="2405" w:type="dxa"/>
            <w:shd w:val="clear" w:color="auto" w:fill="auto"/>
          </w:tcPr>
          <w:p w14:paraId="22A8EA3D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2362B4AC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1CB9E575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452EE972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VICEPRESIDENTa</w:t>
            </w:r>
          </w:p>
          <w:p w14:paraId="075DEE92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22A46B1C" w14:textId="50CE3436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sz w:val="18"/>
                <w:szCs w:val="18"/>
              </w:rPr>
            </w:pPr>
            <w:r w:rsidRPr="007F2F72">
              <w:rPr>
                <w:noProof/>
                <w:sz w:val="18"/>
                <w:szCs w:val="18"/>
              </w:rPr>
              <w:drawing>
                <wp:inline distT="0" distB="0" distL="0" distR="0" wp14:anchorId="11B5E15F" wp14:editId="0993C69E">
                  <wp:extent cx="777765" cy="861848"/>
                  <wp:effectExtent l="0" t="0" r="381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Alejandra Nove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49" cy="86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24A2A" w14:textId="77777777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sz w:val="18"/>
                <w:szCs w:val="18"/>
              </w:rPr>
            </w:pPr>
            <w:r w:rsidRPr="007F2F72">
              <w:rPr>
                <w:b/>
                <w:sz w:val="18"/>
                <w:szCs w:val="18"/>
              </w:rPr>
              <w:t>DIP. ALEJANDRA DE LOS ÁNGELES NOVELO SEGURA</w:t>
            </w:r>
          </w:p>
        </w:tc>
        <w:tc>
          <w:tcPr>
            <w:tcW w:w="2013" w:type="dxa"/>
            <w:shd w:val="clear" w:color="auto" w:fill="auto"/>
          </w:tcPr>
          <w:p w14:paraId="660419C1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5CDB8D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7F2F72" w14:paraId="3668C4F4" w14:textId="77777777" w:rsidTr="00424184">
        <w:trPr>
          <w:jc w:val="center"/>
        </w:trPr>
        <w:tc>
          <w:tcPr>
            <w:tcW w:w="2405" w:type="dxa"/>
            <w:shd w:val="clear" w:color="auto" w:fill="auto"/>
          </w:tcPr>
          <w:p w14:paraId="34A1E994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5EC815AE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3CF49F6F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428AA410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  <w:t>secretariO</w:t>
            </w:r>
          </w:p>
          <w:p w14:paraId="5BC4D6B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</w:p>
          <w:p w14:paraId="0980FB84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2523" w:type="dxa"/>
            <w:shd w:val="clear" w:color="auto" w:fill="auto"/>
          </w:tcPr>
          <w:p w14:paraId="0F953C65" w14:textId="68F7D9A9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noProof/>
                <w:sz w:val="18"/>
                <w:szCs w:val="18"/>
              </w:rPr>
            </w:pPr>
            <w:r w:rsidRPr="007F2F72">
              <w:rPr>
                <w:noProof/>
              </w:rPr>
              <w:drawing>
                <wp:inline distT="0" distB="0" distL="0" distR="0" wp14:anchorId="07660AA1" wp14:editId="70B27AFB">
                  <wp:extent cx="851337" cy="945931"/>
                  <wp:effectExtent l="0" t="0" r="6350" b="698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Gaspar Quint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19" cy="94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8C54D" w14:textId="77777777" w:rsidR="0008395C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14:paraId="3D4FC92B" w14:textId="77777777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noProof/>
                <w:sz w:val="18"/>
                <w:szCs w:val="18"/>
              </w:rPr>
            </w:pPr>
            <w:r w:rsidRPr="007F2F72">
              <w:rPr>
                <w:b/>
                <w:noProof/>
                <w:sz w:val="18"/>
                <w:szCs w:val="18"/>
              </w:rPr>
              <w:t>DIP. GASPAR ARMANDO QUINTAL PARRA</w:t>
            </w:r>
          </w:p>
        </w:tc>
        <w:tc>
          <w:tcPr>
            <w:tcW w:w="2013" w:type="dxa"/>
            <w:shd w:val="clear" w:color="auto" w:fill="auto"/>
          </w:tcPr>
          <w:p w14:paraId="38E541C6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1929E3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7F2F72" w14:paraId="331D188F" w14:textId="77777777" w:rsidTr="00424184">
        <w:trPr>
          <w:jc w:val="center"/>
        </w:trPr>
        <w:tc>
          <w:tcPr>
            <w:tcW w:w="2405" w:type="dxa"/>
            <w:shd w:val="clear" w:color="auto" w:fill="auto"/>
          </w:tcPr>
          <w:p w14:paraId="6C58962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5A97A555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06AE9B5A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  <w:p w14:paraId="1D8594B7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  <w:t>SECRETARIo</w:t>
            </w:r>
          </w:p>
          <w:p w14:paraId="5FDA360C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43CDD8E5" w14:textId="05A01529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sz w:val="18"/>
                <w:szCs w:val="18"/>
              </w:rPr>
            </w:pPr>
            <w:r w:rsidRPr="007F2F72">
              <w:rPr>
                <w:noProof/>
              </w:rPr>
              <w:drawing>
                <wp:inline distT="0" distB="0" distL="0" distR="0" wp14:anchorId="69586776" wp14:editId="7F860217">
                  <wp:extent cx="914400" cy="840828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Jesús Pérez Ballot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80" cy="84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7C2E4" w14:textId="738A8DA1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sz w:val="18"/>
                <w:szCs w:val="18"/>
              </w:rPr>
            </w:pPr>
            <w:r w:rsidRPr="007F2F72">
              <w:rPr>
                <w:b/>
                <w:sz w:val="18"/>
                <w:szCs w:val="18"/>
              </w:rPr>
              <w:t>DIP. JESÚS EFRÉN PÉREZ BALLOTE</w:t>
            </w:r>
          </w:p>
        </w:tc>
        <w:tc>
          <w:tcPr>
            <w:tcW w:w="2013" w:type="dxa"/>
            <w:shd w:val="clear" w:color="auto" w:fill="auto"/>
          </w:tcPr>
          <w:p w14:paraId="0A8C5A68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74F663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7F2F72" w14:paraId="7529FEB2" w14:textId="77777777" w:rsidTr="00424184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43E6FC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3E44C1E3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6ECEE8B8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0E0144DD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VOCAL</w:t>
            </w:r>
          </w:p>
          <w:p w14:paraId="752C374C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3E87E942" w14:textId="14EE497D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7F2F72">
              <w:rPr>
                <w:noProof/>
              </w:rPr>
              <w:drawing>
                <wp:inline distT="0" distB="0" distL="0" distR="0" wp14:anchorId="148606FF" wp14:editId="74C71C28">
                  <wp:extent cx="914400" cy="872358"/>
                  <wp:effectExtent l="0" t="0" r="0" b="444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Victor Hugo Lozano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12" cy="87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22D1B" w14:textId="36999DBA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7F2F72">
              <w:rPr>
                <w:b/>
                <w:caps/>
                <w:sz w:val="18"/>
                <w:szCs w:val="18"/>
                <w:lang w:val="pt-BR"/>
              </w:rPr>
              <w:t>DIP. VÍCTOR HUGO LOZANO POVEDA</w:t>
            </w:r>
          </w:p>
        </w:tc>
        <w:tc>
          <w:tcPr>
            <w:tcW w:w="2013" w:type="dxa"/>
            <w:shd w:val="clear" w:color="auto" w:fill="auto"/>
          </w:tcPr>
          <w:p w14:paraId="17E97041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7184226F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</w:p>
        </w:tc>
      </w:tr>
      <w:tr w:rsidR="00133737" w:rsidRPr="007F2F72" w14:paraId="3FE5FE2F" w14:textId="77777777" w:rsidTr="00424184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CF4F6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35B37DE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6D7B136A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CEE7CC6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VOCAL</w:t>
            </w:r>
          </w:p>
          <w:p w14:paraId="443597FD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7149981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56DBDE3B" w14:textId="6446DFE5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  <w:lang w:val="es-ES_tradnl"/>
              </w:rPr>
            </w:pPr>
            <w:r w:rsidRPr="007F2F72">
              <w:rPr>
                <w:noProof/>
              </w:rPr>
              <w:drawing>
                <wp:inline distT="0" distB="0" distL="0" distR="0" wp14:anchorId="0E083441" wp14:editId="6BC94FD7">
                  <wp:extent cx="851337" cy="882869"/>
                  <wp:effectExtent l="0" t="0" r="635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Dafne López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19" cy="8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C6729" w14:textId="12C2D115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7F2F72">
              <w:rPr>
                <w:b/>
                <w:caps/>
                <w:sz w:val="18"/>
                <w:szCs w:val="18"/>
                <w:lang w:val="pt-BR"/>
              </w:rPr>
              <w:t>DIP. DAFNE CELINA LÓPEZ OSORIO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C0E459E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91A14D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7F2F72" w14:paraId="7802EA99" w14:textId="77777777" w:rsidTr="00424184">
        <w:trPr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552A9C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9A0D42F" w14:textId="77777777" w:rsidR="006F1186" w:rsidRPr="007F2F72" w:rsidRDefault="006F1186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F50A532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VOCAL </w:t>
            </w:r>
          </w:p>
          <w:p w14:paraId="33DE590A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740AA15B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EBDB76" w14:textId="4C0CDA0A" w:rsidR="006F1186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7F2F72">
              <w:rPr>
                <w:noProof/>
              </w:rPr>
              <w:drawing>
                <wp:inline distT="0" distB="0" distL="0" distR="0" wp14:anchorId="24159FA1" wp14:editId="60700FA5">
                  <wp:extent cx="788027" cy="85725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Karla Salaz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14" cy="85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B7C15" w14:textId="77777777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7F2F72">
              <w:rPr>
                <w:b/>
                <w:caps/>
                <w:sz w:val="18"/>
                <w:szCs w:val="18"/>
                <w:lang w:val="pt-BR"/>
              </w:rPr>
              <w:t>DIP. KARLA vanessa SALAZAR GONZÁLEZ</w:t>
            </w:r>
            <w:r w:rsidRPr="007F2F72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44385A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329ECC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7F2F72" w14:paraId="59A7FF8D" w14:textId="77777777" w:rsidTr="00424184">
        <w:trPr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EEDE67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40D6E1C5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VOCAL</w:t>
            </w:r>
          </w:p>
          <w:p w14:paraId="2FF5AD60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A4CC8F" w14:textId="52CA318F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7F2F72">
              <w:rPr>
                <w:noProof/>
              </w:rPr>
              <w:drawing>
                <wp:inline distT="0" distB="0" distL="0" distR="0" wp14:anchorId="31DC2AAB" wp14:editId="665DB54A">
                  <wp:extent cx="788275" cy="767255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Crescencio Gutiérrez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59" cy="76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9C32A" w14:textId="77777777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7F2F72">
              <w:rPr>
                <w:b/>
                <w:caps/>
                <w:sz w:val="18"/>
                <w:szCs w:val="18"/>
                <w:lang w:val="pt-BR"/>
              </w:rPr>
              <w:t>DIP. JOSÉ CREScENCIO GUTIÉRREZ GONZÁLEZ</w:t>
            </w:r>
            <w:r w:rsidRPr="007F2F72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00E206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EBC9C1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7F2F72" w14:paraId="4623C939" w14:textId="77777777" w:rsidTr="00424184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3A99A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5092002E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308E4992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2F72">
              <w:rPr>
                <w:rFonts w:ascii="Arial" w:hAnsi="Arial" w:cs="Arial"/>
                <w:b/>
                <w:caps/>
                <w:sz w:val="18"/>
                <w:szCs w:val="18"/>
              </w:rPr>
              <w:t>VOCAL</w:t>
            </w:r>
          </w:p>
          <w:p w14:paraId="5DA92A99" w14:textId="77777777" w:rsidR="00133737" w:rsidRPr="007F2F72" w:rsidRDefault="00133737" w:rsidP="007F2F72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7862E27C" w14:textId="0FCFA622" w:rsidR="00133737" w:rsidRPr="007F2F72" w:rsidRDefault="0008395C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7F2F72">
              <w:rPr>
                <w:noProof/>
              </w:rPr>
              <w:drawing>
                <wp:inline distT="0" distB="0" distL="0" distR="0" wp14:anchorId="2C2515A2" wp14:editId="52BD08BE">
                  <wp:extent cx="787883" cy="847725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. Vida Gómez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165" cy="85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D4968" w14:textId="49F17E95" w:rsidR="00133737" w:rsidRPr="007F2F72" w:rsidRDefault="00133737" w:rsidP="007F2F72">
            <w:pPr>
              <w:spacing w:after="0" w:line="240" w:lineRule="auto"/>
              <w:ind w:left="0" w:right="0"/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7F2F72">
              <w:rPr>
                <w:b/>
                <w:caps/>
                <w:sz w:val="18"/>
                <w:szCs w:val="18"/>
                <w:lang w:val="pt-BR"/>
              </w:rPr>
              <w:t>DIP. VIDA ARAVARI GÓMEZ HERRERA.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5A660F98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711AF4" w14:textId="77777777" w:rsidR="00133737" w:rsidRPr="007F2F72" w:rsidRDefault="00133737" w:rsidP="007F2F72">
            <w:pPr>
              <w:pStyle w:val="Textoindependiente"/>
              <w:contextualSpacing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33737" w:rsidRPr="00221EE2" w14:paraId="13D82A8D" w14:textId="77777777" w:rsidTr="008468D2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B6D97" w14:textId="189EE528" w:rsidR="00133737" w:rsidRPr="00221EE2" w:rsidRDefault="00133737" w:rsidP="007F2F72">
            <w:pPr>
              <w:pStyle w:val="Textoindependiente"/>
              <w:contextualSpacing/>
              <w:rPr>
                <w:rFonts w:ascii="Arial" w:hAnsi="Arial" w:cs="Arial"/>
                <w:i/>
                <w:caps/>
                <w:sz w:val="16"/>
                <w:szCs w:val="16"/>
                <w:lang w:val="es-MX"/>
              </w:rPr>
            </w:pPr>
            <w:r w:rsidRPr="00221EE2">
              <w:rPr>
                <w:rFonts w:ascii="Arial" w:hAnsi="Arial" w:cs="Arial"/>
                <w:i/>
                <w:sz w:val="16"/>
                <w:szCs w:val="16"/>
              </w:rPr>
              <w:t xml:space="preserve">Esta hoja de firmas pertenece al Dictamen </w:t>
            </w:r>
            <w:r w:rsidR="00221EE2" w:rsidRPr="00221EE2">
              <w:rPr>
                <w:rFonts w:ascii="Arial" w:hAnsi="Arial" w:cs="Arial"/>
                <w:i/>
                <w:sz w:val="16"/>
                <w:szCs w:val="16"/>
              </w:rPr>
              <w:t xml:space="preserve">con proyecto de Decreto por el que se </w:t>
            </w:r>
            <w:r w:rsidR="00221EE2" w:rsidRPr="00221EE2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adiciona una fracción X al artículo 116 de la Constitución Política de los Estados Unidos Mexicanos, en materia de símbolos de las entidades federativas</w:t>
            </w:r>
          </w:p>
        </w:tc>
      </w:tr>
    </w:tbl>
    <w:p w14:paraId="66E51DE4" w14:textId="77777777" w:rsidR="00133737" w:rsidRPr="00221EE2" w:rsidRDefault="00133737" w:rsidP="00221EE2">
      <w:pPr>
        <w:pStyle w:val="Sangra2detindependiente"/>
        <w:spacing w:after="0" w:line="240" w:lineRule="auto"/>
        <w:ind w:left="0" w:right="0" w:firstLine="0"/>
        <w:rPr>
          <w:sz w:val="16"/>
          <w:szCs w:val="16"/>
        </w:rPr>
      </w:pPr>
    </w:p>
    <w:sectPr w:rsidR="00133737" w:rsidRPr="00221EE2" w:rsidSect="00221E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F360" w14:textId="77777777" w:rsidR="00913CD2" w:rsidRDefault="00913CD2">
      <w:pPr>
        <w:spacing w:after="0" w:line="240" w:lineRule="auto"/>
      </w:pPr>
      <w:r>
        <w:separator/>
      </w:r>
    </w:p>
  </w:endnote>
  <w:endnote w:type="continuationSeparator" w:id="0">
    <w:p w14:paraId="7A3FFD9D" w14:textId="77777777" w:rsidR="00913CD2" w:rsidRDefault="0091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B2263F" w:rsidRDefault="00B2263F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B2263F" w:rsidRDefault="00B22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ED7334D" w:rsidR="00B2263F" w:rsidRPr="00900C30" w:rsidRDefault="00B2263F" w:rsidP="00CB7B51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97732F" w:rsidRPr="0097732F">
          <w:rPr>
            <w:rFonts w:ascii="Arial" w:hAnsi="Arial" w:cs="Arial"/>
            <w:noProof/>
            <w:lang w:val="es-ES"/>
          </w:rPr>
          <w:t>10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B2263F" w:rsidRDefault="00B2263F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B2263F" w:rsidRDefault="00B22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22D0" w14:textId="77777777" w:rsidR="00913CD2" w:rsidRDefault="00913CD2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1881AB26" w14:textId="77777777" w:rsidR="00913CD2" w:rsidRDefault="00913CD2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B2263F" w:rsidRDefault="00B2263F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B2263F" w:rsidRDefault="00B22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B2263F" w:rsidRDefault="00B2263F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17" name="Imagen 17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74C67677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B2263F" w:rsidRDefault="00B2263F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B2263F" w:rsidRDefault="00B2263F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B2263F" w:rsidRPr="00232376" w:rsidRDefault="00B2263F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B2263F" w:rsidRPr="00232376" w:rsidRDefault="00B2263F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B2263F" w:rsidRDefault="00B2263F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B2263F" w:rsidRDefault="00B2263F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B2263F" w:rsidRPr="00232376" w:rsidRDefault="00B2263F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B2263F" w:rsidRPr="00232376" w:rsidRDefault="00B2263F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B2263F" w:rsidRDefault="00B2263F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B2263F" w:rsidRDefault="00B2263F">
    <w:pPr>
      <w:spacing w:after="0" w:line="244" w:lineRule="auto"/>
      <w:ind w:left="0" w:right="0" w:firstLine="0"/>
      <w:jc w:val="center"/>
    </w:pPr>
  </w:p>
  <w:p w14:paraId="1037E0C5" w14:textId="23FC34D2" w:rsidR="00B2263F" w:rsidRDefault="00B2263F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B2263F" w:rsidRPr="00381914" w:rsidRDefault="00B2263F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B2263F" w:rsidRPr="00381914" w:rsidRDefault="00B2263F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B2263F" w:rsidRPr="00381914" w:rsidRDefault="00B2263F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B2263F" w:rsidRPr="00381914" w:rsidRDefault="00B2263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B2263F" w:rsidRPr="00381914" w:rsidRDefault="00B2263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B2263F" w:rsidRPr="00381914" w:rsidRDefault="00B2263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B2263F" w:rsidRDefault="00B2263F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B2263F" w:rsidRDefault="00B226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44D"/>
    <w:multiLevelType w:val="hybridMultilevel"/>
    <w:tmpl w:val="89760940"/>
    <w:lvl w:ilvl="0" w:tplc="372CFC8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A0C"/>
    <w:multiLevelType w:val="hybridMultilevel"/>
    <w:tmpl w:val="BE38D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7E36E0B"/>
    <w:multiLevelType w:val="hybridMultilevel"/>
    <w:tmpl w:val="41C6A754"/>
    <w:lvl w:ilvl="0" w:tplc="D1483C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296"/>
    <w:rsid w:val="00027EFA"/>
    <w:rsid w:val="0003020A"/>
    <w:rsid w:val="00031ED4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32A"/>
    <w:rsid w:val="0008170E"/>
    <w:rsid w:val="00082744"/>
    <w:rsid w:val="00082CF2"/>
    <w:rsid w:val="00082E6E"/>
    <w:rsid w:val="000838D3"/>
    <w:rsid w:val="0008395C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441"/>
    <w:rsid w:val="000A6E66"/>
    <w:rsid w:val="000B07A1"/>
    <w:rsid w:val="000B0AF9"/>
    <w:rsid w:val="000B20B4"/>
    <w:rsid w:val="000B3CF4"/>
    <w:rsid w:val="000B3F7B"/>
    <w:rsid w:val="000B41AD"/>
    <w:rsid w:val="000B4317"/>
    <w:rsid w:val="000B443B"/>
    <w:rsid w:val="000B4760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110E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17BA0"/>
    <w:rsid w:val="00120734"/>
    <w:rsid w:val="00122889"/>
    <w:rsid w:val="0012317C"/>
    <w:rsid w:val="00126CB3"/>
    <w:rsid w:val="001277FB"/>
    <w:rsid w:val="00130EF8"/>
    <w:rsid w:val="00133737"/>
    <w:rsid w:val="001338A6"/>
    <w:rsid w:val="00133994"/>
    <w:rsid w:val="00133CCC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618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1BDB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1EE2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1AB"/>
    <w:rsid w:val="00253CAF"/>
    <w:rsid w:val="00255295"/>
    <w:rsid w:val="00255CDB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929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6D77"/>
    <w:rsid w:val="00297DC5"/>
    <w:rsid w:val="002A0091"/>
    <w:rsid w:val="002A085D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1191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545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1E88"/>
    <w:rsid w:val="0036262E"/>
    <w:rsid w:val="00362BD4"/>
    <w:rsid w:val="003702D8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6EB6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17A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4184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48D8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2BEB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2B1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8D9"/>
    <w:rsid w:val="004E6BC0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236"/>
    <w:rsid w:val="00561CE8"/>
    <w:rsid w:val="00562054"/>
    <w:rsid w:val="00566040"/>
    <w:rsid w:val="00567F7D"/>
    <w:rsid w:val="00570959"/>
    <w:rsid w:val="00570DDE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A2E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30C"/>
    <w:rsid w:val="005E755E"/>
    <w:rsid w:val="005E7CA8"/>
    <w:rsid w:val="005F0269"/>
    <w:rsid w:val="005F1B7F"/>
    <w:rsid w:val="005F36E3"/>
    <w:rsid w:val="005F5E67"/>
    <w:rsid w:val="005F6FB4"/>
    <w:rsid w:val="006003EF"/>
    <w:rsid w:val="00600E07"/>
    <w:rsid w:val="006011B7"/>
    <w:rsid w:val="006024AF"/>
    <w:rsid w:val="006032FF"/>
    <w:rsid w:val="00603357"/>
    <w:rsid w:val="00603B78"/>
    <w:rsid w:val="00604FA9"/>
    <w:rsid w:val="0060694B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1C1A"/>
    <w:rsid w:val="006E2AF9"/>
    <w:rsid w:val="006E4D74"/>
    <w:rsid w:val="006E4D81"/>
    <w:rsid w:val="006E7725"/>
    <w:rsid w:val="006F118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2B28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E37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36F4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2F72"/>
    <w:rsid w:val="007F3044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845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4941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517F"/>
    <w:rsid w:val="00876ACA"/>
    <w:rsid w:val="00876CFC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959BD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CD2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7732F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C7A54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2DF9"/>
    <w:rsid w:val="00A13E67"/>
    <w:rsid w:val="00A17876"/>
    <w:rsid w:val="00A17A37"/>
    <w:rsid w:val="00A17C6E"/>
    <w:rsid w:val="00A17EEA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60F1"/>
    <w:rsid w:val="00A970C3"/>
    <w:rsid w:val="00A97EAF"/>
    <w:rsid w:val="00AA07B1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4D6"/>
    <w:rsid w:val="00AC28B1"/>
    <w:rsid w:val="00AC3812"/>
    <w:rsid w:val="00AC43BF"/>
    <w:rsid w:val="00AC4E08"/>
    <w:rsid w:val="00AC6C54"/>
    <w:rsid w:val="00AC6E8A"/>
    <w:rsid w:val="00AD1B79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37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263F"/>
    <w:rsid w:val="00B22F55"/>
    <w:rsid w:val="00B2333B"/>
    <w:rsid w:val="00B24A0F"/>
    <w:rsid w:val="00B24D54"/>
    <w:rsid w:val="00B25226"/>
    <w:rsid w:val="00B265F3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608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777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2AE3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4436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140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219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0773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B7B51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6D09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50A1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3B80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6EDE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87559"/>
    <w:rsid w:val="00E9070F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01D3"/>
    <w:rsid w:val="00F02BB8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17CE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5E2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967B5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7211C"/>
  <w15:docId w15:val="{B71F482F-56F6-4D1F-AB83-8BCE362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,4_G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cxmsonormal">
    <w:name w:val="ecxmsonormal"/>
    <w:basedOn w:val="Normal"/>
    <w:rsid w:val="0030119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gob.mx/64/gaceta_comision_permanente/documento/9832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do.gob.mx/64/gaceta_comision_permanente/documento/98328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287D-16B5-4ACF-BC0B-A615256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2134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adda.granier</cp:lastModifiedBy>
  <cp:revision>5</cp:revision>
  <cp:lastPrinted>2023-03-22T22:36:00Z</cp:lastPrinted>
  <dcterms:created xsi:type="dcterms:W3CDTF">2023-03-22T15:27:00Z</dcterms:created>
  <dcterms:modified xsi:type="dcterms:W3CDTF">2023-03-23T18:37:00Z</dcterms:modified>
</cp:coreProperties>
</file>